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2368" w14:textId="4A5DF6C3" w:rsidR="00C72B5E" w:rsidRPr="00F63B3F" w:rsidRDefault="00646437" w:rsidP="00C72B5E">
      <w:pPr>
        <w:pStyle w:val="Heading1"/>
        <w:spacing w:before="0"/>
        <w:ind w:right="-180"/>
        <w:rPr>
          <w:rFonts w:ascii="Arial" w:hAnsi="Arial" w:cs="Arial"/>
          <w:color w:val="595959" w:themeColor="text1" w:themeTint="A6"/>
          <w:sz w:val="32"/>
          <w:szCs w:val="32"/>
        </w:rPr>
      </w:pPr>
      <w:bookmarkStart w:id="0" w:name="_Hlk150691277"/>
      <w:r w:rsidRPr="00F63B3F">
        <w:rPr>
          <w:rFonts w:ascii="Arial" w:hAnsi="Arial" w:cs="Arial"/>
          <w:color w:val="595959" w:themeColor="text1" w:themeTint="A6"/>
          <w:sz w:val="32"/>
          <w:szCs w:val="32"/>
        </w:rPr>
        <w:t xml:space="preserve">May Delivers More Growth for the Meat Department </w:t>
      </w:r>
    </w:p>
    <w:bookmarkEnd w:id="0"/>
    <w:p w14:paraId="32EF5C27" w14:textId="77777777" w:rsidR="00477835" w:rsidRPr="006879B2" w:rsidRDefault="00477835" w:rsidP="00FB129D">
      <w:pPr>
        <w:pStyle w:val="Heading1"/>
        <w:spacing w:before="0"/>
        <w:rPr>
          <w:rFonts w:ascii="Arial" w:hAnsi="Arial" w:cs="Arial"/>
          <w:sz w:val="20"/>
          <w:szCs w:val="20"/>
        </w:rPr>
      </w:pPr>
      <w:r w:rsidRPr="006879B2">
        <w:rPr>
          <w:rFonts w:ascii="Arial" w:hAnsi="Arial" w:cs="Arial"/>
          <w:sz w:val="20"/>
          <w:szCs w:val="20"/>
        </w:rPr>
        <w:t xml:space="preserve">By: </w:t>
      </w:r>
      <w:r w:rsidR="00825B09" w:rsidRPr="006879B2">
        <w:rPr>
          <w:rFonts w:ascii="Arial" w:hAnsi="Arial" w:cs="Arial"/>
          <w:sz w:val="20"/>
          <w:szCs w:val="20"/>
        </w:rPr>
        <w:t>Anne-Marie Roerink, President, 210 Analytics LLC</w:t>
      </w:r>
    </w:p>
    <w:p w14:paraId="5A9FAF66" w14:textId="77777777" w:rsidR="004B75E4" w:rsidRDefault="004B75E4" w:rsidP="00D85BA4">
      <w:pPr>
        <w:pStyle w:val="NoSpacing"/>
        <w:rPr>
          <w:rFonts w:ascii="Arial" w:hAnsi="Arial" w:cs="Arial"/>
          <w:b/>
          <w:bCs/>
          <w:color w:val="595959" w:themeColor="text1" w:themeTint="A6"/>
          <w:sz w:val="24"/>
        </w:rPr>
      </w:pPr>
    </w:p>
    <w:p w14:paraId="12DBBDEB" w14:textId="77777777" w:rsidR="00646437" w:rsidRPr="006C00F1" w:rsidRDefault="00646437" w:rsidP="00646437">
      <w:pPr>
        <w:pStyle w:val="NoSpacing"/>
        <w:rPr>
          <w:rFonts w:ascii="Arial" w:hAnsi="Arial" w:cs="Arial"/>
          <w:b/>
          <w:bCs/>
          <w:color w:val="595959" w:themeColor="text1" w:themeTint="A6"/>
          <w:sz w:val="24"/>
        </w:rPr>
      </w:pPr>
      <w:bookmarkStart w:id="1" w:name="_Hlk166237718"/>
      <w:bookmarkStart w:id="2" w:name="_Hlk158538948"/>
      <w:r>
        <w:rPr>
          <w:rFonts w:ascii="Arial" w:hAnsi="Arial" w:cs="Arial"/>
          <w:b/>
          <w:bCs/>
          <w:color w:val="595959" w:themeColor="text1" w:themeTint="A6"/>
          <w:sz w:val="24"/>
        </w:rPr>
        <w:t xml:space="preserve">May </w:t>
      </w:r>
      <w:r w:rsidRPr="006C00F1">
        <w:rPr>
          <w:rFonts w:ascii="Arial" w:hAnsi="Arial" w:cs="Arial"/>
          <w:b/>
          <w:bCs/>
          <w:color w:val="595959" w:themeColor="text1" w:themeTint="A6"/>
          <w:sz w:val="24"/>
        </w:rPr>
        <w:t>in Review</w:t>
      </w:r>
    </w:p>
    <w:bookmarkEnd w:id="1"/>
    <w:p w14:paraId="13118996" w14:textId="77777777" w:rsidR="00646437" w:rsidRPr="004434DD" w:rsidRDefault="00646437" w:rsidP="00646437">
      <w:pPr>
        <w:spacing w:after="0" w:line="240" w:lineRule="auto"/>
        <w:rPr>
          <w:rFonts w:ascii="Arial" w:hAnsi="Arial" w:cs="Arial"/>
          <w:sz w:val="20"/>
          <w:szCs w:val="20"/>
        </w:rPr>
      </w:pPr>
      <w:r w:rsidRPr="004434DD">
        <w:rPr>
          <w:rFonts w:ascii="Arial" w:hAnsi="Arial" w:cs="Arial"/>
          <w:sz w:val="20"/>
          <w:szCs w:val="20"/>
        </w:rPr>
        <w:t xml:space="preserve">May provided the first clean year-on-year performance look, with March and April affected by the earlier Easter timing that moved the substantial holiday sales from the second to the first quarter of the year. </w:t>
      </w:r>
    </w:p>
    <w:p w14:paraId="22D7EF39" w14:textId="77777777" w:rsidR="00646437" w:rsidRPr="004434DD" w:rsidRDefault="00646437" w:rsidP="00646437">
      <w:pPr>
        <w:pStyle w:val="ListParagraph"/>
        <w:numPr>
          <w:ilvl w:val="0"/>
          <w:numId w:val="17"/>
        </w:numPr>
        <w:contextualSpacing/>
        <w:rPr>
          <w:rFonts w:ascii="Arial" w:hAnsi="Arial" w:cs="Arial"/>
          <w:sz w:val="20"/>
          <w:szCs w:val="20"/>
        </w:rPr>
      </w:pPr>
      <w:r w:rsidRPr="004434DD">
        <w:rPr>
          <w:rFonts w:ascii="Arial" w:hAnsi="Arial" w:cs="Arial"/>
          <w:sz w:val="20"/>
          <w:szCs w:val="20"/>
        </w:rPr>
        <w:t xml:space="preserve">Consumer sentiment, that took a big dip in April, declined further in May. The University of Michigan expectations index fell to 68.8 in May 2024, down from 76.0 the prior month. Consumers expressed concern over labor — expecting unemployment rates to rise and income growth to slow. Meanwhile, consumers remain worried over the lingering and cumulative impact of inflation. </w:t>
      </w:r>
    </w:p>
    <w:p w14:paraId="51012C3B" w14:textId="77777777" w:rsidR="00646437" w:rsidRPr="004434DD" w:rsidRDefault="00646437" w:rsidP="00646437">
      <w:pPr>
        <w:pStyle w:val="ListParagraph"/>
        <w:numPr>
          <w:ilvl w:val="0"/>
          <w:numId w:val="17"/>
        </w:numPr>
        <w:contextualSpacing/>
        <w:rPr>
          <w:rFonts w:ascii="Arial" w:hAnsi="Arial" w:cs="Arial"/>
          <w:sz w:val="20"/>
          <w:szCs w:val="20"/>
        </w:rPr>
      </w:pPr>
      <w:r w:rsidRPr="004434DD">
        <w:rPr>
          <w:rFonts w:ascii="Arial" w:hAnsi="Arial" w:cs="Arial"/>
          <w:sz w:val="20"/>
          <w:szCs w:val="20"/>
        </w:rPr>
        <w:t xml:space="preserve">Food-away-from-home (restaurant) prices increased 4.0% year-over-year in May versus 1.0% for food-at-home, according to the Bureau of Labor Statistics. </w:t>
      </w:r>
    </w:p>
    <w:p w14:paraId="350ABB0F" w14:textId="5347652C" w:rsidR="00646437" w:rsidRPr="004434DD" w:rsidRDefault="00646437" w:rsidP="00646437">
      <w:pPr>
        <w:pStyle w:val="ListParagraph"/>
        <w:numPr>
          <w:ilvl w:val="0"/>
          <w:numId w:val="17"/>
        </w:numPr>
        <w:contextualSpacing/>
        <w:rPr>
          <w:rFonts w:ascii="Arial" w:hAnsi="Arial" w:cs="Arial"/>
          <w:sz w:val="20"/>
          <w:szCs w:val="20"/>
        </w:rPr>
      </w:pPr>
      <w:r w:rsidRPr="004434DD">
        <w:rPr>
          <w:rFonts w:ascii="Arial" w:hAnsi="Arial" w:cs="Arial"/>
          <w:sz w:val="20"/>
          <w:szCs w:val="20"/>
        </w:rPr>
        <w:t xml:space="preserve">The first five months of the year show a slowdown in restaurant traffic echoed by 27% of consumers in </w:t>
      </w:r>
      <w:proofErr w:type="spellStart"/>
      <w:r w:rsidRPr="004434DD">
        <w:rPr>
          <w:rFonts w:ascii="Arial" w:hAnsi="Arial" w:cs="Arial"/>
          <w:sz w:val="20"/>
          <w:szCs w:val="20"/>
        </w:rPr>
        <w:t>Circana’s</w:t>
      </w:r>
      <w:proofErr w:type="spellEnd"/>
      <w:r w:rsidRPr="004434DD">
        <w:rPr>
          <w:rFonts w:ascii="Arial" w:hAnsi="Arial" w:cs="Arial"/>
          <w:sz w:val="20"/>
          <w:szCs w:val="20"/>
        </w:rPr>
        <w:t xml:space="preserve"> May survey of primary grocery shoppers who say they are eating at restaurants less often. Where 80% of </w:t>
      </w:r>
      <w:r>
        <w:rPr>
          <w:rFonts w:ascii="Arial" w:hAnsi="Arial" w:cs="Arial"/>
          <w:sz w:val="20"/>
          <w:szCs w:val="20"/>
        </w:rPr>
        <w:t xml:space="preserve">respondents </w:t>
      </w:r>
      <w:r w:rsidRPr="004434DD">
        <w:rPr>
          <w:rFonts w:ascii="Arial" w:hAnsi="Arial" w:cs="Arial"/>
          <w:sz w:val="20"/>
          <w:szCs w:val="20"/>
        </w:rPr>
        <w:t xml:space="preserve">consumed restaurant food in May, only 70% of lower-income households did so versus 87% of upper-income households. </w:t>
      </w:r>
    </w:p>
    <w:p w14:paraId="77B7104D" w14:textId="77777777" w:rsidR="00646437" w:rsidRPr="004434DD" w:rsidRDefault="00646437" w:rsidP="00646437">
      <w:pPr>
        <w:pStyle w:val="ListParagraph"/>
        <w:numPr>
          <w:ilvl w:val="0"/>
          <w:numId w:val="17"/>
        </w:numPr>
        <w:contextualSpacing/>
        <w:rPr>
          <w:rFonts w:ascii="Arial" w:hAnsi="Arial" w:cs="Arial"/>
          <w:sz w:val="20"/>
          <w:szCs w:val="20"/>
        </w:rPr>
      </w:pPr>
      <w:r w:rsidRPr="004434DD">
        <w:rPr>
          <w:rFonts w:ascii="Arial" w:hAnsi="Arial" w:cs="Arial"/>
          <w:sz w:val="20"/>
          <w:szCs w:val="20"/>
        </w:rPr>
        <w:t xml:space="preserve">Lower-income households are also more likely to implement money-saving measures when shopping for groceries, at 87% versus 73% of upper-income households. Lower-income households </w:t>
      </w:r>
      <w:r>
        <w:rPr>
          <w:rFonts w:ascii="Arial" w:hAnsi="Arial" w:cs="Arial"/>
          <w:sz w:val="20"/>
          <w:szCs w:val="20"/>
        </w:rPr>
        <w:t xml:space="preserve">are far more likely to </w:t>
      </w:r>
      <w:r w:rsidRPr="004434DD">
        <w:rPr>
          <w:rFonts w:ascii="Arial" w:hAnsi="Arial" w:cs="Arial"/>
          <w:sz w:val="20"/>
          <w:szCs w:val="20"/>
        </w:rPr>
        <w:t xml:space="preserve">buy less/stick to the budget, switch to store brands and shop at value retailers. All income levels and ages are focused on sales promotions and coupons. </w:t>
      </w:r>
    </w:p>
    <w:p w14:paraId="3E8BF8A1" w14:textId="77777777" w:rsidR="00645977" w:rsidRPr="0099074F" w:rsidRDefault="00645977" w:rsidP="00645977">
      <w:pPr>
        <w:pStyle w:val="NoSpacing"/>
        <w:rPr>
          <w:rFonts w:ascii="Arial" w:hAnsi="Arial" w:cs="Arial"/>
          <w:sz w:val="20"/>
          <w:szCs w:val="20"/>
        </w:rPr>
      </w:pPr>
    </w:p>
    <w:p w14:paraId="1ACE1BB2" w14:textId="77777777" w:rsidR="00645977" w:rsidRDefault="00645977" w:rsidP="00645977">
      <w:pPr>
        <w:pStyle w:val="NoSpacing"/>
        <w:rPr>
          <w:rFonts w:ascii="Arial" w:hAnsi="Arial" w:cs="Arial"/>
          <w:color w:val="000000" w:themeColor="text1"/>
          <w:sz w:val="20"/>
          <w:szCs w:val="20"/>
        </w:rPr>
      </w:pPr>
      <w:bookmarkStart w:id="3" w:name="_Hlk116282735"/>
    </w:p>
    <w:p w14:paraId="5E378BD7" w14:textId="77777777" w:rsidR="00646437" w:rsidRPr="00A5676F" w:rsidRDefault="00646437" w:rsidP="00646437">
      <w:pPr>
        <w:pStyle w:val="NoSpacing"/>
        <w:rPr>
          <w:rFonts w:ascii="Arial" w:hAnsi="Arial" w:cs="Arial"/>
          <w:b/>
          <w:color w:val="595959" w:themeColor="text1" w:themeTint="A6"/>
          <w:sz w:val="24"/>
          <w:szCs w:val="20"/>
        </w:rPr>
      </w:pPr>
      <w:bookmarkStart w:id="4" w:name="_Hlk166238022"/>
      <w:bookmarkEnd w:id="2"/>
      <w:bookmarkEnd w:id="3"/>
      <w:r w:rsidRPr="00A5676F">
        <w:rPr>
          <w:rFonts w:ascii="Arial" w:hAnsi="Arial" w:cs="Arial"/>
          <w:b/>
          <w:color w:val="595959" w:themeColor="text1" w:themeTint="A6"/>
          <w:sz w:val="24"/>
          <w:szCs w:val="20"/>
        </w:rPr>
        <w:t>Inflation Insights</w:t>
      </w:r>
    </w:p>
    <w:p w14:paraId="2D3AEEBF" w14:textId="4D55471E" w:rsidR="00646437" w:rsidRPr="009E662B" w:rsidRDefault="00646437" w:rsidP="00646437">
      <w:pPr>
        <w:pStyle w:val="NoSpacing"/>
        <w:rPr>
          <w:rFonts w:ascii="Arial" w:hAnsi="Arial" w:cs="Arial"/>
          <w:sz w:val="20"/>
          <w:szCs w:val="20"/>
        </w:rPr>
      </w:pPr>
      <w:r>
        <w:rPr>
          <w:rFonts w:ascii="Arial" w:hAnsi="Arial" w:cs="Arial"/>
          <w:sz w:val="20"/>
          <w:szCs w:val="20"/>
        </w:rPr>
        <w:t xml:space="preserve">In May 2024 (the five weeks ending 6/2/2024), the price per unit across all foods and beverages in the </w:t>
      </w:r>
      <w:proofErr w:type="spellStart"/>
      <w:r>
        <w:rPr>
          <w:rFonts w:ascii="Arial" w:hAnsi="Arial" w:cs="Arial"/>
          <w:sz w:val="20"/>
          <w:szCs w:val="20"/>
        </w:rPr>
        <w:t>Circana</w:t>
      </w:r>
      <w:proofErr w:type="spellEnd"/>
      <w:r>
        <w:rPr>
          <w:rFonts w:ascii="Arial" w:hAnsi="Arial" w:cs="Arial"/>
          <w:sz w:val="20"/>
          <w:szCs w:val="20"/>
        </w:rPr>
        <w:t xml:space="preserve"> MULO+ universe increased 1.2% versus May 2023. Prices in the fresh perimeter were up 1.2% in May versus year ago, whereas center-store grocery prices increased 1.7% — the closest rates of inflation seen in several years between the two parts of the store. The May prices across food and beverages were 33% higher than they were pre-pandemic. </w:t>
      </w:r>
    </w:p>
    <w:tbl>
      <w:tblPr>
        <w:tblStyle w:val="LightShading-Accent5"/>
        <w:tblpPr w:leftFromText="141" w:rightFromText="141" w:vertAnchor="text" w:horzAnchor="margin" w:tblpY="325"/>
        <w:tblW w:w="10537" w:type="dxa"/>
        <w:tblBorders>
          <w:top w:val="none" w:sz="0" w:space="0" w:color="auto"/>
          <w:bottom w:val="none" w:sz="0" w:space="0" w:color="auto"/>
        </w:tblBorders>
        <w:tblLayout w:type="fixed"/>
        <w:tblLook w:val="04A0" w:firstRow="1" w:lastRow="0" w:firstColumn="1" w:lastColumn="0" w:noHBand="0" w:noVBand="1"/>
      </w:tblPr>
      <w:tblGrid>
        <w:gridCol w:w="1260"/>
        <w:gridCol w:w="767"/>
        <w:gridCol w:w="851"/>
        <w:gridCol w:w="851"/>
        <w:gridCol w:w="851"/>
        <w:gridCol w:w="851"/>
        <w:gridCol w:w="851"/>
        <w:gridCol w:w="851"/>
        <w:gridCol w:w="851"/>
        <w:gridCol w:w="851"/>
        <w:gridCol w:w="851"/>
        <w:gridCol w:w="851"/>
      </w:tblGrid>
      <w:tr w:rsidR="00646437" w:rsidRPr="00770F6B" w14:paraId="71B15D76" w14:textId="77777777" w:rsidTr="00646437">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260" w:type="dxa"/>
            <w:shd w:val="clear" w:color="auto" w:fill="17365D" w:themeFill="text2" w:themeFillShade="BF"/>
          </w:tcPr>
          <w:p w14:paraId="48E5E6D5" w14:textId="77777777" w:rsidR="00646437" w:rsidRPr="006D1070" w:rsidRDefault="00646437" w:rsidP="00C71664">
            <w:pPr>
              <w:pStyle w:val="NoSpacing"/>
              <w:rPr>
                <w:rFonts w:ascii="Arial" w:hAnsi="Arial" w:cs="Arial"/>
                <w:bCs w:val="0"/>
                <w:color w:val="FFFFFF" w:themeColor="background1"/>
                <w:sz w:val="18"/>
                <w:szCs w:val="18"/>
              </w:rPr>
            </w:pPr>
            <w:r w:rsidRPr="006D1070">
              <w:rPr>
                <w:rFonts w:ascii="Arial" w:hAnsi="Arial" w:cs="Arial"/>
                <w:bCs w:val="0"/>
                <w:color w:val="FFFFFF" w:themeColor="background1"/>
                <w:sz w:val="18"/>
                <w:szCs w:val="18"/>
              </w:rPr>
              <w:t>Average price/unit vs. YA</w:t>
            </w:r>
          </w:p>
        </w:tc>
        <w:tc>
          <w:tcPr>
            <w:tcW w:w="767" w:type="dxa"/>
            <w:shd w:val="clear" w:color="auto" w:fill="17365D" w:themeFill="text2" w:themeFillShade="BF"/>
            <w:vAlign w:val="center"/>
          </w:tcPr>
          <w:p w14:paraId="36D5643A"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2019</w:t>
            </w:r>
          </w:p>
        </w:tc>
        <w:tc>
          <w:tcPr>
            <w:tcW w:w="851" w:type="dxa"/>
            <w:shd w:val="clear" w:color="auto" w:fill="17365D" w:themeFill="text2" w:themeFillShade="BF"/>
            <w:vAlign w:val="center"/>
          </w:tcPr>
          <w:p w14:paraId="3372DFA9"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2020</w:t>
            </w:r>
          </w:p>
        </w:tc>
        <w:tc>
          <w:tcPr>
            <w:tcW w:w="851" w:type="dxa"/>
            <w:shd w:val="clear" w:color="auto" w:fill="17365D" w:themeFill="text2" w:themeFillShade="BF"/>
            <w:vAlign w:val="center"/>
          </w:tcPr>
          <w:p w14:paraId="58FB2106"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2021</w:t>
            </w:r>
          </w:p>
        </w:tc>
        <w:tc>
          <w:tcPr>
            <w:tcW w:w="851" w:type="dxa"/>
            <w:shd w:val="clear" w:color="auto" w:fill="17365D" w:themeFill="text2" w:themeFillShade="BF"/>
            <w:vAlign w:val="center"/>
          </w:tcPr>
          <w:p w14:paraId="352EB9B9"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2022</w:t>
            </w:r>
          </w:p>
        </w:tc>
        <w:tc>
          <w:tcPr>
            <w:tcW w:w="851" w:type="dxa"/>
            <w:shd w:val="clear" w:color="auto" w:fill="17365D" w:themeFill="text2" w:themeFillShade="BF"/>
            <w:vAlign w:val="center"/>
          </w:tcPr>
          <w:p w14:paraId="5C97C02D"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2023</w:t>
            </w:r>
          </w:p>
        </w:tc>
        <w:tc>
          <w:tcPr>
            <w:tcW w:w="851" w:type="dxa"/>
            <w:shd w:val="clear" w:color="auto" w:fill="17365D" w:themeFill="text2" w:themeFillShade="BF"/>
            <w:vAlign w:val="center"/>
          </w:tcPr>
          <w:p w14:paraId="44B4739C"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Q1 23</w:t>
            </w:r>
          </w:p>
        </w:tc>
        <w:tc>
          <w:tcPr>
            <w:tcW w:w="851" w:type="dxa"/>
            <w:shd w:val="clear" w:color="auto" w:fill="17365D" w:themeFill="text2" w:themeFillShade="BF"/>
            <w:vAlign w:val="center"/>
          </w:tcPr>
          <w:p w14:paraId="59C40BC6"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Q2 23</w:t>
            </w:r>
          </w:p>
        </w:tc>
        <w:tc>
          <w:tcPr>
            <w:tcW w:w="851" w:type="dxa"/>
            <w:shd w:val="clear" w:color="auto" w:fill="17365D" w:themeFill="text2" w:themeFillShade="BF"/>
            <w:vAlign w:val="center"/>
          </w:tcPr>
          <w:p w14:paraId="51049E8B"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Q3 23</w:t>
            </w:r>
          </w:p>
        </w:tc>
        <w:tc>
          <w:tcPr>
            <w:tcW w:w="851" w:type="dxa"/>
            <w:shd w:val="clear" w:color="auto" w:fill="17365D" w:themeFill="text2" w:themeFillShade="BF"/>
            <w:vAlign w:val="center"/>
          </w:tcPr>
          <w:p w14:paraId="39431EC0"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D1070">
              <w:rPr>
                <w:rFonts w:ascii="Arial" w:hAnsi="Arial" w:cs="Arial"/>
                <w:color w:val="FFFFFF" w:themeColor="background1"/>
                <w:sz w:val="18"/>
                <w:szCs w:val="18"/>
              </w:rPr>
              <w:t>Q4 23</w:t>
            </w:r>
          </w:p>
        </w:tc>
        <w:tc>
          <w:tcPr>
            <w:tcW w:w="851" w:type="dxa"/>
            <w:shd w:val="clear" w:color="auto" w:fill="17365D" w:themeFill="text2" w:themeFillShade="BF"/>
            <w:vAlign w:val="center"/>
          </w:tcPr>
          <w:p w14:paraId="5EFF86F0" w14:textId="77777777" w:rsidR="00646437"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Q1 24</w:t>
            </w:r>
          </w:p>
        </w:tc>
        <w:tc>
          <w:tcPr>
            <w:tcW w:w="851" w:type="dxa"/>
            <w:shd w:val="clear" w:color="auto" w:fill="17365D" w:themeFill="text2" w:themeFillShade="BF"/>
            <w:vAlign w:val="center"/>
          </w:tcPr>
          <w:p w14:paraId="0BE88134" w14:textId="77777777" w:rsidR="00646437" w:rsidRPr="006D1070" w:rsidRDefault="00646437" w:rsidP="00C716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May 24</w:t>
            </w:r>
          </w:p>
        </w:tc>
      </w:tr>
      <w:tr w:rsidR="00646437" w:rsidRPr="007F5087" w14:paraId="612040C4" w14:textId="77777777" w:rsidTr="00C7166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14:paraId="3C5B7333" w14:textId="77777777" w:rsidR="00646437" w:rsidRPr="006D1070" w:rsidRDefault="00646437" w:rsidP="00C71664">
            <w:pPr>
              <w:pStyle w:val="NoSpacing"/>
              <w:rPr>
                <w:rFonts w:ascii="Arial" w:hAnsi="Arial" w:cs="Arial"/>
                <w:b w:val="0"/>
                <w:bCs w:val="0"/>
                <w:color w:val="auto"/>
                <w:sz w:val="18"/>
                <w:szCs w:val="18"/>
              </w:rPr>
            </w:pPr>
            <w:r w:rsidRPr="006D1070">
              <w:rPr>
                <w:rFonts w:ascii="Arial" w:hAnsi="Arial" w:cs="Arial"/>
                <w:b w:val="0"/>
                <w:bCs w:val="0"/>
                <w:color w:val="auto"/>
                <w:sz w:val="18"/>
                <w:szCs w:val="18"/>
              </w:rPr>
              <w:t>Total food &amp; beverages</w:t>
            </w:r>
          </w:p>
        </w:tc>
        <w:tc>
          <w:tcPr>
            <w:tcW w:w="767" w:type="dxa"/>
            <w:shd w:val="clear" w:color="auto" w:fill="D9D9D9" w:themeFill="background1" w:themeFillShade="D9"/>
            <w:vAlign w:val="center"/>
          </w:tcPr>
          <w:p w14:paraId="1B5F44C5"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+2.0%</w:t>
            </w:r>
          </w:p>
        </w:tc>
        <w:tc>
          <w:tcPr>
            <w:tcW w:w="851" w:type="dxa"/>
            <w:shd w:val="clear" w:color="auto" w:fill="D9D9D9" w:themeFill="background1" w:themeFillShade="D9"/>
            <w:vAlign w:val="center"/>
          </w:tcPr>
          <w:p w14:paraId="30DDF9DB"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w:t>
            </w:r>
            <w:r>
              <w:rPr>
                <w:rFonts w:ascii="Arial" w:hAnsi="Arial" w:cs="Arial"/>
                <w:color w:val="auto"/>
                <w:sz w:val="18"/>
                <w:szCs w:val="18"/>
              </w:rPr>
              <w:t>5.5</w:t>
            </w:r>
            <w:r w:rsidRPr="006D1070">
              <w:rPr>
                <w:rFonts w:ascii="Arial" w:hAnsi="Arial" w:cs="Arial"/>
                <w:color w:val="auto"/>
                <w:sz w:val="18"/>
                <w:szCs w:val="18"/>
              </w:rPr>
              <w:t>%</w:t>
            </w:r>
          </w:p>
        </w:tc>
        <w:tc>
          <w:tcPr>
            <w:tcW w:w="851" w:type="dxa"/>
            <w:shd w:val="clear" w:color="auto" w:fill="D9D9D9" w:themeFill="background1" w:themeFillShade="D9"/>
            <w:vAlign w:val="center"/>
          </w:tcPr>
          <w:p w14:paraId="4EC71A8D"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+5.</w:t>
            </w:r>
            <w:r>
              <w:rPr>
                <w:rFonts w:ascii="Arial" w:hAnsi="Arial" w:cs="Arial"/>
                <w:color w:val="auto"/>
                <w:sz w:val="18"/>
                <w:szCs w:val="18"/>
              </w:rPr>
              <w:t>6</w:t>
            </w:r>
            <w:r w:rsidRPr="006D1070">
              <w:rPr>
                <w:rFonts w:ascii="Arial" w:hAnsi="Arial" w:cs="Arial"/>
                <w:color w:val="auto"/>
                <w:sz w:val="18"/>
                <w:szCs w:val="18"/>
              </w:rPr>
              <w:t>%</w:t>
            </w:r>
          </w:p>
        </w:tc>
        <w:tc>
          <w:tcPr>
            <w:tcW w:w="851" w:type="dxa"/>
            <w:shd w:val="clear" w:color="auto" w:fill="D9D9D9" w:themeFill="background1" w:themeFillShade="D9"/>
            <w:vAlign w:val="center"/>
          </w:tcPr>
          <w:p w14:paraId="475284D0"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+12.</w:t>
            </w:r>
            <w:r>
              <w:rPr>
                <w:rFonts w:ascii="Arial" w:hAnsi="Arial" w:cs="Arial"/>
                <w:color w:val="auto"/>
                <w:sz w:val="18"/>
                <w:szCs w:val="18"/>
              </w:rPr>
              <w:t>6</w:t>
            </w:r>
            <w:r w:rsidRPr="006D1070">
              <w:rPr>
                <w:rFonts w:ascii="Arial" w:hAnsi="Arial" w:cs="Arial"/>
                <w:color w:val="auto"/>
                <w:sz w:val="18"/>
                <w:szCs w:val="18"/>
              </w:rPr>
              <w:t>%</w:t>
            </w:r>
          </w:p>
        </w:tc>
        <w:tc>
          <w:tcPr>
            <w:tcW w:w="851" w:type="dxa"/>
            <w:shd w:val="clear" w:color="auto" w:fill="D9D9D9" w:themeFill="background1" w:themeFillShade="D9"/>
            <w:vAlign w:val="center"/>
          </w:tcPr>
          <w:p w14:paraId="43BE077D"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w:t>
            </w:r>
            <w:r>
              <w:rPr>
                <w:rFonts w:ascii="Arial" w:hAnsi="Arial" w:cs="Arial"/>
                <w:color w:val="auto"/>
                <w:sz w:val="18"/>
                <w:szCs w:val="18"/>
              </w:rPr>
              <w:t>5.9</w:t>
            </w:r>
            <w:r w:rsidRPr="006D1070">
              <w:rPr>
                <w:rFonts w:ascii="Arial" w:hAnsi="Arial" w:cs="Arial"/>
                <w:color w:val="auto"/>
                <w:sz w:val="18"/>
                <w:szCs w:val="18"/>
              </w:rPr>
              <w:t>%</w:t>
            </w:r>
          </w:p>
        </w:tc>
        <w:tc>
          <w:tcPr>
            <w:tcW w:w="851" w:type="dxa"/>
            <w:shd w:val="clear" w:color="auto" w:fill="D9D9D9" w:themeFill="background1" w:themeFillShade="D9"/>
            <w:vAlign w:val="center"/>
          </w:tcPr>
          <w:p w14:paraId="6C321DC6"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+11.</w:t>
            </w:r>
            <w:r>
              <w:rPr>
                <w:rFonts w:ascii="Arial" w:hAnsi="Arial" w:cs="Arial"/>
                <w:color w:val="auto"/>
                <w:sz w:val="18"/>
                <w:szCs w:val="18"/>
              </w:rPr>
              <w:t>3</w:t>
            </w:r>
            <w:r w:rsidRPr="006D1070">
              <w:rPr>
                <w:rFonts w:ascii="Arial" w:hAnsi="Arial" w:cs="Arial"/>
                <w:color w:val="auto"/>
                <w:sz w:val="18"/>
                <w:szCs w:val="18"/>
              </w:rPr>
              <w:t>%</w:t>
            </w:r>
          </w:p>
        </w:tc>
        <w:tc>
          <w:tcPr>
            <w:tcW w:w="851" w:type="dxa"/>
            <w:shd w:val="clear" w:color="auto" w:fill="D9D9D9" w:themeFill="background1" w:themeFillShade="D9"/>
            <w:vAlign w:val="center"/>
          </w:tcPr>
          <w:p w14:paraId="59AD2D30"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+7.</w:t>
            </w:r>
            <w:r>
              <w:rPr>
                <w:rFonts w:ascii="Arial" w:hAnsi="Arial" w:cs="Arial"/>
                <w:color w:val="auto"/>
                <w:sz w:val="18"/>
                <w:szCs w:val="18"/>
              </w:rPr>
              <w:t>0</w:t>
            </w:r>
            <w:r w:rsidRPr="006D1070">
              <w:rPr>
                <w:rFonts w:ascii="Arial" w:hAnsi="Arial" w:cs="Arial"/>
                <w:color w:val="auto"/>
                <w:sz w:val="18"/>
                <w:szCs w:val="18"/>
              </w:rPr>
              <w:t>%</w:t>
            </w:r>
          </w:p>
        </w:tc>
        <w:tc>
          <w:tcPr>
            <w:tcW w:w="851" w:type="dxa"/>
            <w:shd w:val="clear" w:color="auto" w:fill="D9D9D9" w:themeFill="background1" w:themeFillShade="D9"/>
            <w:vAlign w:val="center"/>
          </w:tcPr>
          <w:p w14:paraId="63AB78CE" w14:textId="77777777" w:rsidR="00646437" w:rsidRPr="006D1070" w:rsidRDefault="00646437" w:rsidP="00C71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D1070">
              <w:rPr>
                <w:rFonts w:ascii="Arial" w:hAnsi="Arial" w:cs="Arial"/>
                <w:color w:val="auto"/>
                <w:sz w:val="18"/>
                <w:szCs w:val="18"/>
              </w:rPr>
              <w:t>+</w:t>
            </w:r>
            <w:r>
              <w:rPr>
                <w:rFonts w:ascii="Arial" w:hAnsi="Arial" w:cs="Arial"/>
                <w:color w:val="auto"/>
                <w:sz w:val="18"/>
                <w:szCs w:val="18"/>
              </w:rPr>
              <w:t>3.8</w:t>
            </w:r>
            <w:r w:rsidRPr="006D1070">
              <w:rPr>
                <w:rFonts w:ascii="Arial" w:hAnsi="Arial" w:cs="Arial"/>
                <w:color w:val="auto"/>
                <w:sz w:val="18"/>
                <w:szCs w:val="18"/>
              </w:rPr>
              <w:t>%</w:t>
            </w:r>
          </w:p>
        </w:tc>
        <w:tc>
          <w:tcPr>
            <w:tcW w:w="851" w:type="dxa"/>
            <w:shd w:val="clear" w:color="auto" w:fill="D9D9D9" w:themeFill="background1" w:themeFillShade="D9"/>
            <w:vAlign w:val="center"/>
          </w:tcPr>
          <w:p w14:paraId="44466608" w14:textId="77777777" w:rsidR="00646437" w:rsidRPr="002A6F4E" w:rsidRDefault="00646437" w:rsidP="00C71664">
            <w:pPr>
              <w:ind w:right="-95"/>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A6F4E">
              <w:rPr>
                <w:rFonts w:ascii="Arial" w:hAnsi="Arial" w:cs="Arial"/>
                <w:color w:val="auto"/>
                <w:sz w:val="18"/>
                <w:szCs w:val="18"/>
              </w:rPr>
              <w:t>+2.2%</w:t>
            </w:r>
          </w:p>
        </w:tc>
        <w:tc>
          <w:tcPr>
            <w:tcW w:w="851" w:type="dxa"/>
            <w:shd w:val="clear" w:color="auto" w:fill="D9D9D9" w:themeFill="background1" w:themeFillShade="D9"/>
            <w:vAlign w:val="center"/>
          </w:tcPr>
          <w:p w14:paraId="5BC509A9" w14:textId="77777777" w:rsidR="00646437" w:rsidRPr="002A6F4E" w:rsidRDefault="00646437" w:rsidP="00C71664">
            <w:pPr>
              <w:ind w:right="-63" w:hanging="1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A6F4E">
              <w:rPr>
                <w:rFonts w:ascii="Arial" w:hAnsi="Arial" w:cs="Arial"/>
                <w:color w:val="auto"/>
                <w:sz w:val="18"/>
                <w:szCs w:val="18"/>
              </w:rPr>
              <w:t>+1.2</w:t>
            </w:r>
            <w:r>
              <w:rPr>
                <w:rFonts w:ascii="Arial" w:hAnsi="Arial" w:cs="Arial"/>
                <w:color w:val="auto"/>
                <w:sz w:val="18"/>
                <w:szCs w:val="18"/>
              </w:rPr>
              <w:t>%</w:t>
            </w:r>
          </w:p>
        </w:tc>
        <w:tc>
          <w:tcPr>
            <w:tcW w:w="851" w:type="dxa"/>
            <w:shd w:val="clear" w:color="auto" w:fill="D9D9D9" w:themeFill="background1" w:themeFillShade="D9"/>
            <w:vAlign w:val="center"/>
          </w:tcPr>
          <w:p w14:paraId="3110808C" w14:textId="77777777" w:rsidR="00646437" w:rsidRPr="002A6F4E" w:rsidRDefault="00646437" w:rsidP="00C71664">
            <w:pPr>
              <w:ind w:right="-63" w:hanging="1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2A6F4E">
              <w:rPr>
                <w:rFonts w:ascii="Arial" w:hAnsi="Arial" w:cs="Arial"/>
                <w:color w:val="auto"/>
                <w:sz w:val="18"/>
                <w:szCs w:val="18"/>
              </w:rPr>
              <w:t>+</w:t>
            </w:r>
            <w:r>
              <w:rPr>
                <w:rFonts w:ascii="Arial" w:hAnsi="Arial" w:cs="Arial"/>
                <w:color w:val="auto"/>
                <w:sz w:val="18"/>
                <w:szCs w:val="18"/>
              </w:rPr>
              <w:t>1.2</w:t>
            </w:r>
            <w:r w:rsidRPr="002A6F4E">
              <w:rPr>
                <w:rFonts w:ascii="Arial" w:hAnsi="Arial" w:cs="Arial"/>
                <w:color w:val="auto"/>
                <w:sz w:val="18"/>
                <w:szCs w:val="18"/>
              </w:rPr>
              <w:t>%</w:t>
            </w:r>
          </w:p>
        </w:tc>
      </w:tr>
    </w:tbl>
    <w:p w14:paraId="2D618B1A" w14:textId="77777777" w:rsidR="00646437" w:rsidRDefault="00646437" w:rsidP="00646437">
      <w:pPr>
        <w:pStyle w:val="NoSpacing"/>
        <w:rPr>
          <w:rFonts w:ascii="Arial" w:hAnsi="Arial" w:cs="Arial"/>
          <w:sz w:val="16"/>
          <w:szCs w:val="16"/>
        </w:rPr>
      </w:pPr>
    </w:p>
    <w:p w14:paraId="12222D81" w14:textId="77777777" w:rsidR="00646437" w:rsidRPr="00C70400" w:rsidRDefault="00646437" w:rsidP="00646437">
      <w:pPr>
        <w:pStyle w:val="NoSpacing"/>
        <w:rPr>
          <w:rFonts w:ascii="Arial" w:hAnsi="Arial" w:cs="Arial"/>
          <w:sz w:val="14"/>
          <w:szCs w:val="14"/>
        </w:rPr>
      </w:pPr>
    </w:p>
    <w:p w14:paraId="44386529" w14:textId="77777777" w:rsidR="00646437" w:rsidRPr="006879B2" w:rsidRDefault="00646437" w:rsidP="00646437">
      <w:pPr>
        <w:pStyle w:val="NoSpacing"/>
        <w:rPr>
          <w:rFonts w:ascii="Arial" w:hAnsi="Arial" w:cs="Arial"/>
          <w:sz w:val="16"/>
          <w:szCs w:val="16"/>
        </w:rPr>
      </w:pPr>
      <w:r>
        <w:rPr>
          <w:rFonts w:ascii="Arial" w:hAnsi="Arial" w:cs="Arial"/>
          <w:sz w:val="16"/>
          <w:szCs w:val="16"/>
        </w:rPr>
        <w:t xml:space="preserve">Source: </w:t>
      </w:r>
      <w:proofErr w:type="spellStart"/>
      <w:r>
        <w:rPr>
          <w:rFonts w:ascii="Arial" w:hAnsi="Arial" w:cs="Arial"/>
          <w:sz w:val="16"/>
          <w:szCs w:val="16"/>
        </w:rPr>
        <w:t>Circana</w:t>
      </w:r>
      <w:proofErr w:type="spellEnd"/>
      <w:r>
        <w:rPr>
          <w:rFonts w:ascii="Arial" w:hAnsi="Arial" w:cs="Arial"/>
          <w:sz w:val="16"/>
          <w:szCs w:val="16"/>
        </w:rPr>
        <w:t xml:space="preserve">, Integrated Fresh, Total US, MULO+, average price per unit and % gain versus YA </w:t>
      </w:r>
    </w:p>
    <w:bookmarkEnd w:id="4"/>
    <w:p w14:paraId="0B6006D6" w14:textId="2CE24D71" w:rsidR="00137F89" w:rsidRDefault="00137F89" w:rsidP="00137F89">
      <w:pPr>
        <w:pStyle w:val="NoSpacing"/>
        <w:rPr>
          <w:rFonts w:ascii="Arial" w:hAnsi="Arial" w:cs="Arial"/>
          <w:sz w:val="20"/>
          <w:szCs w:val="20"/>
        </w:rPr>
      </w:pPr>
    </w:p>
    <w:p w14:paraId="656F8D07" w14:textId="70C3D3B0" w:rsidR="009C35DD" w:rsidRDefault="00091743" w:rsidP="00AD3F7F">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8C01A5">
        <w:rPr>
          <w:rFonts w:ascii="Arial" w:hAnsi="Arial" w:cs="Arial"/>
          <w:color w:val="000000" w:themeColor="text1"/>
          <w:sz w:val="20"/>
          <w:szCs w:val="20"/>
        </w:rPr>
        <w:t>$</w:t>
      </w:r>
      <w:r w:rsidR="005D2B0D">
        <w:rPr>
          <w:rFonts w:ascii="Arial" w:hAnsi="Arial" w:cs="Arial"/>
          <w:color w:val="000000" w:themeColor="text1"/>
          <w:sz w:val="20"/>
          <w:szCs w:val="20"/>
        </w:rPr>
        <w:t>4.70</w:t>
      </w:r>
      <w:r w:rsidR="00BD345C">
        <w:rPr>
          <w:rFonts w:ascii="Arial" w:hAnsi="Arial" w:cs="Arial"/>
          <w:color w:val="000000" w:themeColor="text1"/>
          <w:sz w:val="20"/>
          <w:szCs w:val="20"/>
        </w:rPr>
        <w:t xml:space="preserve"> </w:t>
      </w:r>
      <w:r w:rsidR="00A006D8">
        <w:rPr>
          <w:rFonts w:ascii="Arial" w:hAnsi="Arial" w:cs="Arial"/>
          <w:color w:val="000000" w:themeColor="text1"/>
          <w:sz w:val="20"/>
          <w:szCs w:val="20"/>
        </w:rPr>
        <w:t>in</w:t>
      </w:r>
      <w:r w:rsidR="005D2B0D">
        <w:rPr>
          <w:rFonts w:ascii="Arial" w:hAnsi="Arial" w:cs="Arial"/>
          <w:color w:val="000000" w:themeColor="text1"/>
          <w:sz w:val="20"/>
          <w:szCs w:val="20"/>
        </w:rPr>
        <w:t xml:space="preserve"> May 2024</w:t>
      </w:r>
      <w:r w:rsidR="00786E3E">
        <w:rPr>
          <w:rFonts w:ascii="Arial" w:hAnsi="Arial" w:cs="Arial"/>
          <w:color w:val="000000" w:themeColor="text1"/>
          <w:sz w:val="20"/>
          <w:szCs w:val="20"/>
        </w:rPr>
        <w:t xml:space="preserve">, up </w:t>
      </w:r>
      <w:r w:rsidR="005D2B0D">
        <w:rPr>
          <w:rFonts w:ascii="Arial" w:hAnsi="Arial" w:cs="Arial"/>
          <w:color w:val="000000" w:themeColor="text1"/>
          <w:sz w:val="20"/>
          <w:szCs w:val="20"/>
        </w:rPr>
        <w:t>2.9</w:t>
      </w:r>
      <w:r w:rsidR="002E1C0B">
        <w:rPr>
          <w:rFonts w:ascii="Arial" w:hAnsi="Arial" w:cs="Arial"/>
          <w:color w:val="000000" w:themeColor="text1"/>
          <w:sz w:val="20"/>
          <w:szCs w:val="20"/>
        </w:rPr>
        <w:t>%</w:t>
      </w:r>
      <w:r w:rsidR="00F24F7D" w:rsidRPr="00A911E0">
        <w:rPr>
          <w:rFonts w:ascii="Arial" w:hAnsi="Arial" w:cs="Arial"/>
          <w:color w:val="000000" w:themeColor="text1"/>
          <w:sz w:val="20"/>
          <w:szCs w:val="20"/>
        </w:rPr>
        <w:t xml:space="preserve"> from </w:t>
      </w:r>
      <w:r w:rsidR="003819D1">
        <w:rPr>
          <w:rFonts w:ascii="Arial" w:hAnsi="Arial" w:cs="Arial"/>
          <w:color w:val="000000" w:themeColor="text1"/>
          <w:sz w:val="20"/>
          <w:szCs w:val="20"/>
        </w:rPr>
        <w:t>year-on-year</w:t>
      </w:r>
      <w:r w:rsidR="004C02E5" w:rsidRPr="00A911E0">
        <w:rPr>
          <w:rFonts w:ascii="Arial" w:hAnsi="Arial" w:cs="Arial"/>
          <w:color w:val="000000" w:themeColor="text1"/>
          <w:sz w:val="20"/>
          <w:szCs w:val="20"/>
        </w:rPr>
        <w:t xml:space="preserve">. </w:t>
      </w:r>
      <w:r w:rsidR="005D2B0D">
        <w:rPr>
          <w:rFonts w:ascii="Arial" w:hAnsi="Arial" w:cs="Arial"/>
          <w:color w:val="000000" w:themeColor="text1"/>
          <w:sz w:val="20"/>
          <w:szCs w:val="20"/>
        </w:rPr>
        <w:t>The average p</w:t>
      </w:r>
      <w:r w:rsidR="00F24F7D" w:rsidRPr="00A911E0">
        <w:rPr>
          <w:rFonts w:ascii="Arial" w:hAnsi="Arial" w:cs="Arial"/>
          <w:color w:val="000000" w:themeColor="text1"/>
          <w:sz w:val="20"/>
          <w:szCs w:val="20"/>
        </w:rPr>
        <w:t>r</w:t>
      </w:r>
      <w:r w:rsidR="00A94956" w:rsidRPr="00A911E0">
        <w:rPr>
          <w:rFonts w:ascii="Arial" w:hAnsi="Arial" w:cs="Arial"/>
          <w:color w:val="000000" w:themeColor="text1"/>
          <w:sz w:val="20"/>
          <w:szCs w:val="20"/>
        </w:rPr>
        <w:t xml:space="preserve">ocessed meat </w:t>
      </w:r>
      <w:r w:rsidR="005D2B0D">
        <w:rPr>
          <w:rFonts w:ascii="Arial" w:hAnsi="Arial" w:cs="Arial"/>
          <w:color w:val="000000" w:themeColor="text1"/>
          <w:sz w:val="20"/>
          <w:szCs w:val="20"/>
        </w:rPr>
        <w:t>price moved above $5, up 1.3%</w:t>
      </w:r>
      <w:r w:rsidR="00182993">
        <w:rPr>
          <w:rFonts w:ascii="Arial" w:hAnsi="Arial" w:cs="Arial"/>
          <w:color w:val="000000" w:themeColor="text1"/>
          <w:sz w:val="20"/>
          <w:szCs w:val="20"/>
        </w:rPr>
        <w:t xml:space="preserve"> versus prior-year levels</w:t>
      </w:r>
      <w:r w:rsidR="005D2B0D">
        <w:rPr>
          <w:rFonts w:ascii="Arial" w:hAnsi="Arial" w:cs="Arial"/>
          <w:color w:val="000000" w:themeColor="text1"/>
          <w:sz w:val="20"/>
          <w:szCs w:val="20"/>
        </w:rPr>
        <w:t xml:space="preserve">. May inflation </w:t>
      </w:r>
      <w:r w:rsidR="00182993">
        <w:rPr>
          <w:rFonts w:ascii="Arial" w:hAnsi="Arial" w:cs="Arial"/>
          <w:color w:val="000000" w:themeColor="text1"/>
          <w:sz w:val="20"/>
          <w:szCs w:val="20"/>
        </w:rPr>
        <w:t xml:space="preserve">exceeds the 52-week inflation levels for both fresh and processed meat. </w:t>
      </w:r>
      <w:r w:rsidR="005D2B0D">
        <w:rPr>
          <w:rFonts w:ascii="Arial" w:hAnsi="Arial" w:cs="Arial"/>
          <w:color w:val="000000" w:themeColor="text1"/>
          <w:sz w:val="20"/>
          <w:szCs w:val="20"/>
        </w:rPr>
        <w:t xml:space="preserve"> </w:t>
      </w:r>
    </w:p>
    <w:p w14:paraId="24F9F5EA" w14:textId="77777777" w:rsidR="003C0E12" w:rsidRDefault="003C0E12" w:rsidP="0026382C">
      <w:pPr>
        <w:pStyle w:val="NoSpacing"/>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627E4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Pr>
                <w:rFonts w:ascii="Arial" w:hAnsi="Arial" w:cs="Arial"/>
                <w:color w:val="FFFFFF" w:themeColor="background1"/>
                <w:sz w:val="18"/>
                <w:szCs w:val="18"/>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51001E91"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F12C9A">
              <w:rPr>
                <w:rFonts w:ascii="Arial" w:hAnsi="Arial" w:cs="Arial"/>
                <w:color w:val="FFFFFF" w:themeColor="background1"/>
                <w:sz w:val="18"/>
                <w:szCs w:val="18"/>
              </w:rPr>
              <w:t xml:space="preserve"> 3YA</w:t>
            </w:r>
          </w:p>
        </w:tc>
      </w:tr>
      <w:tr w:rsidR="00786E3E" w:rsidRPr="00FB41A2" w14:paraId="09ED1CF0" w14:textId="77777777" w:rsidTr="005D2B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1E0657E5" w:rsidR="00786E3E" w:rsidRPr="00FB41A2" w:rsidRDefault="00786E3E" w:rsidP="00786E3E">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 xml:space="preserve">Total meat (FW and RW) </w:t>
            </w:r>
            <w:r w:rsidR="005D2B0D">
              <w:rPr>
                <w:rFonts w:ascii="Arial" w:hAnsi="Arial" w:cs="Arial"/>
                <w:b w:val="0"/>
                <w:bCs w:val="0"/>
                <w:color w:val="000000" w:themeColor="text1"/>
                <w:sz w:val="18"/>
                <w:szCs w:val="18"/>
              </w:rPr>
              <w:t xml:space="preserve">May </w:t>
            </w:r>
            <w:r w:rsidR="001F639F">
              <w:rPr>
                <w:rFonts w:ascii="Arial" w:hAnsi="Arial" w:cs="Arial"/>
                <w:b w:val="0"/>
                <w:bCs w:val="0"/>
                <w:color w:val="000000" w:themeColor="text1"/>
                <w:sz w:val="18"/>
                <w:szCs w:val="18"/>
              </w:rPr>
              <w:t>2024</w:t>
            </w:r>
          </w:p>
        </w:tc>
        <w:tc>
          <w:tcPr>
            <w:tcW w:w="1568" w:type="dxa"/>
            <w:shd w:val="clear" w:color="auto" w:fill="D9D9D9" w:themeFill="background1" w:themeFillShade="D9"/>
            <w:vAlign w:val="center"/>
          </w:tcPr>
          <w:p w14:paraId="455F7A3D" w14:textId="2664F5A1" w:rsidR="00786E3E" w:rsidRPr="00F063CA" w:rsidRDefault="005D2B0D" w:rsidP="007D5CBC">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$4.70</w:t>
            </w:r>
          </w:p>
        </w:tc>
        <w:tc>
          <w:tcPr>
            <w:tcW w:w="1916" w:type="dxa"/>
            <w:shd w:val="clear" w:color="auto" w:fill="D9D9D9" w:themeFill="background1" w:themeFillShade="D9"/>
            <w:vAlign w:val="center"/>
          </w:tcPr>
          <w:p w14:paraId="7AE1541E" w14:textId="343D3750" w:rsidR="00786E3E" w:rsidRPr="00F063CA" w:rsidRDefault="005D2B0D" w:rsidP="007D5CB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+2.9%</w:t>
            </w:r>
          </w:p>
        </w:tc>
        <w:tc>
          <w:tcPr>
            <w:tcW w:w="2276" w:type="dxa"/>
            <w:shd w:val="clear" w:color="auto" w:fill="D9D9D9" w:themeFill="background1" w:themeFillShade="D9"/>
            <w:vAlign w:val="center"/>
          </w:tcPr>
          <w:p w14:paraId="3164FA8F" w14:textId="51DA06A1" w:rsidR="00786E3E" w:rsidRPr="00F063CA" w:rsidRDefault="005D2B0D" w:rsidP="007D5CBC">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+13.3%</w:t>
            </w:r>
          </w:p>
        </w:tc>
      </w:tr>
      <w:tr w:rsidR="00786E3E" w:rsidRPr="00FB41A2" w14:paraId="5EE5E6D3" w14:textId="77777777" w:rsidTr="005D2B0D">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1F3897B3" w:rsidR="00786E3E" w:rsidRPr="00FB41A2" w:rsidRDefault="00786E3E" w:rsidP="00786E3E">
            <w:pPr>
              <w:pStyle w:val="NoSpacing"/>
              <w:rPr>
                <w:rFonts w:ascii="Arial" w:hAnsi="Arial" w:cs="Arial"/>
                <w:color w:val="000000" w:themeColor="text1"/>
                <w:sz w:val="18"/>
                <w:szCs w:val="18"/>
              </w:rPr>
            </w:pPr>
            <w:r w:rsidRPr="00FB41A2">
              <w:rPr>
                <w:rFonts w:ascii="Arial" w:hAnsi="Arial" w:cs="Arial"/>
                <w:color w:val="000000" w:themeColor="text1"/>
                <w:sz w:val="18"/>
                <w:szCs w:val="18"/>
              </w:rPr>
              <w:t xml:space="preserve">Total meat </w:t>
            </w:r>
            <w:r w:rsidR="007E63BC" w:rsidRPr="00FB41A2">
              <w:rPr>
                <w:rFonts w:ascii="Arial" w:hAnsi="Arial" w:cs="Arial"/>
                <w:color w:val="000000" w:themeColor="text1"/>
                <w:sz w:val="18"/>
                <w:szCs w:val="18"/>
              </w:rPr>
              <w:t xml:space="preserve">latest 52 </w:t>
            </w:r>
            <w:proofErr w:type="spellStart"/>
            <w:r w:rsidR="007E63BC" w:rsidRPr="00FB41A2">
              <w:rPr>
                <w:rFonts w:ascii="Arial" w:hAnsi="Arial" w:cs="Arial"/>
                <w:color w:val="000000" w:themeColor="text1"/>
                <w:sz w:val="18"/>
                <w:szCs w:val="18"/>
              </w:rPr>
              <w:t>w.e</w:t>
            </w:r>
            <w:proofErr w:type="spellEnd"/>
            <w:r w:rsidR="007E63BC" w:rsidRPr="00FB41A2">
              <w:rPr>
                <w:rFonts w:ascii="Arial" w:hAnsi="Arial" w:cs="Arial"/>
                <w:color w:val="000000" w:themeColor="text1"/>
                <w:sz w:val="18"/>
                <w:szCs w:val="18"/>
              </w:rPr>
              <w:t xml:space="preserve">. </w:t>
            </w:r>
            <w:r w:rsidR="005D2B0D">
              <w:rPr>
                <w:rFonts w:ascii="Arial" w:hAnsi="Arial" w:cs="Arial"/>
                <w:color w:val="000000" w:themeColor="text1"/>
                <w:sz w:val="18"/>
                <w:szCs w:val="18"/>
              </w:rPr>
              <w:t>6</w:t>
            </w:r>
            <w:r w:rsidR="00922058">
              <w:rPr>
                <w:rFonts w:ascii="Arial" w:hAnsi="Arial" w:cs="Arial"/>
                <w:color w:val="000000" w:themeColor="text1"/>
                <w:sz w:val="18"/>
                <w:szCs w:val="18"/>
              </w:rPr>
              <w:t>/</w:t>
            </w:r>
            <w:r w:rsidR="002E3FAD">
              <w:rPr>
                <w:rFonts w:ascii="Arial" w:hAnsi="Arial" w:cs="Arial"/>
                <w:color w:val="000000" w:themeColor="text1"/>
                <w:sz w:val="18"/>
                <w:szCs w:val="18"/>
              </w:rPr>
              <w:t>2</w:t>
            </w:r>
            <w:r w:rsidR="007E63BC">
              <w:rPr>
                <w:rFonts w:ascii="Arial" w:hAnsi="Arial" w:cs="Arial"/>
                <w:color w:val="000000" w:themeColor="text1"/>
                <w:sz w:val="18"/>
                <w:szCs w:val="18"/>
              </w:rPr>
              <w:t>/2024</w:t>
            </w:r>
          </w:p>
        </w:tc>
        <w:tc>
          <w:tcPr>
            <w:tcW w:w="1568" w:type="dxa"/>
            <w:vAlign w:val="center"/>
          </w:tcPr>
          <w:p w14:paraId="744B4DE1" w14:textId="7094400E" w:rsidR="00786E3E" w:rsidRPr="00FB41A2" w:rsidRDefault="005D2B0D" w:rsidP="007D5CBC">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$4.50</w:t>
            </w:r>
          </w:p>
        </w:tc>
        <w:tc>
          <w:tcPr>
            <w:tcW w:w="1916" w:type="dxa"/>
            <w:vAlign w:val="center"/>
          </w:tcPr>
          <w:p w14:paraId="07F7B511" w14:textId="7BBCE304" w:rsidR="00786E3E" w:rsidRPr="00FB41A2" w:rsidRDefault="005D2B0D" w:rsidP="007D5CBC">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+1.3%</w:t>
            </w:r>
          </w:p>
        </w:tc>
        <w:tc>
          <w:tcPr>
            <w:tcW w:w="2276" w:type="dxa"/>
            <w:vAlign w:val="center"/>
          </w:tcPr>
          <w:p w14:paraId="44E9F842" w14:textId="636449E5" w:rsidR="00786E3E" w:rsidRPr="00FB41A2" w:rsidRDefault="005D2B0D" w:rsidP="007D5CBC">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+13.3%</w:t>
            </w:r>
          </w:p>
        </w:tc>
      </w:tr>
      <w:tr w:rsidR="000D6C1A" w:rsidRPr="00FB41A2" w14:paraId="18E69721" w14:textId="77777777" w:rsidTr="005D2B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4AAB569D"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 xml:space="preserve">Fresh meat </w:t>
            </w:r>
            <w:r w:rsidR="005D2B0D">
              <w:rPr>
                <w:rFonts w:ascii="Arial" w:hAnsi="Arial" w:cs="Arial"/>
                <w:b w:val="0"/>
                <w:bCs w:val="0"/>
                <w:color w:val="000000" w:themeColor="text1"/>
                <w:sz w:val="18"/>
                <w:szCs w:val="18"/>
              </w:rPr>
              <w:t xml:space="preserve">May </w:t>
            </w:r>
            <w:r>
              <w:rPr>
                <w:rFonts w:ascii="Arial" w:hAnsi="Arial" w:cs="Arial"/>
                <w:b w:val="0"/>
                <w:bCs w:val="0"/>
                <w:color w:val="000000" w:themeColor="text1"/>
                <w:sz w:val="18"/>
                <w:szCs w:val="18"/>
              </w:rPr>
              <w:t>2024</w:t>
            </w:r>
          </w:p>
        </w:tc>
        <w:tc>
          <w:tcPr>
            <w:tcW w:w="1568" w:type="dxa"/>
            <w:shd w:val="clear" w:color="auto" w:fill="D9D9D9" w:themeFill="background1" w:themeFillShade="D9"/>
            <w:vAlign w:val="center"/>
          </w:tcPr>
          <w:p w14:paraId="6B83A026" w14:textId="07D77F48"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$4.56</w:t>
            </w:r>
          </w:p>
        </w:tc>
        <w:tc>
          <w:tcPr>
            <w:tcW w:w="1916" w:type="dxa"/>
            <w:shd w:val="clear" w:color="auto" w:fill="D9D9D9" w:themeFill="background1" w:themeFillShade="D9"/>
            <w:vAlign w:val="center"/>
          </w:tcPr>
          <w:p w14:paraId="33A3CEB6" w14:textId="2E8B8D98"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+3.7%</w:t>
            </w:r>
          </w:p>
        </w:tc>
        <w:tc>
          <w:tcPr>
            <w:tcW w:w="2276" w:type="dxa"/>
            <w:shd w:val="clear" w:color="auto" w:fill="D9D9D9" w:themeFill="background1" w:themeFillShade="D9"/>
            <w:vAlign w:val="center"/>
          </w:tcPr>
          <w:p w14:paraId="2E3DEE2A" w14:textId="0404C07B"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+12.2%</w:t>
            </w:r>
          </w:p>
        </w:tc>
      </w:tr>
      <w:tr w:rsidR="000D6C1A" w:rsidRPr="00FB41A2" w14:paraId="0B920D1D" w14:textId="77777777" w:rsidTr="005D2B0D">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08DF91FF" w:rsidR="000D6C1A" w:rsidRPr="00FB41A2" w:rsidRDefault="000D6C1A" w:rsidP="000D6C1A">
            <w:pPr>
              <w:pStyle w:val="NoSpacing"/>
              <w:rPr>
                <w:rFonts w:ascii="Arial" w:hAnsi="Arial" w:cs="Arial"/>
                <w:color w:val="000000" w:themeColor="text1"/>
                <w:sz w:val="18"/>
                <w:szCs w:val="18"/>
              </w:rPr>
            </w:pPr>
            <w:r w:rsidRPr="00FB41A2">
              <w:rPr>
                <w:rFonts w:ascii="Arial" w:hAnsi="Arial" w:cs="Arial"/>
                <w:color w:val="000000" w:themeColor="text1"/>
                <w:sz w:val="18"/>
                <w:szCs w:val="18"/>
              </w:rPr>
              <w:t xml:space="preserve"> Fresh meat latest 52 </w:t>
            </w:r>
            <w:proofErr w:type="spellStart"/>
            <w:r w:rsidRPr="00FB41A2">
              <w:rPr>
                <w:rFonts w:ascii="Arial" w:hAnsi="Arial" w:cs="Arial"/>
                <w:color w:val="000000" w:themeColor="text1"/>
                <w:sz w:val="18"/>
                <w:szCs w:val="18"/>
              </w:rPr>
              <w:t>w.e</w:t>
            </w:r>
            <w:proofErr w:type="spellEnd"/>
            <w:r w:rsidRPr="00FB41A2">
              <w:rPr>
                <w:rFonts w:ascii="Arial" w:hAnsi="Arial" w:cs="Arial"/>
                <w:color w:val="000000" w:themeColor="text1"/>
                <w:sz w:val="18"/>
                <w:szCs w:val="18"/>
              </w:rPr>
              <w:t xml:space="preserve">. </w:t>
            </w:r>
            <w:r w:rsidR="005D2B0D">
              <w:rPr>
                <w:rFonts w:ascii="Arial" w:hAnsi="Arial" w:cs="Arial"/>
                <w:color w:val="000000" w:themeColor="text1"/>
                <w:sz w:val="18"/>
                <w:szCs w:val="18"/>
              </w:rPr>
              <w:t>6</w:t>
            </w:r>
            <w:r>
              <w:rPr>
                <w:rFonts w:ascii="Arial" w:hAnsi="Arial" w:cs="Arial"/>
                <w:color w:val="000000" w:themeColor="text1"/>
                <w:sz w:val="18"/>
                <w:szCs w:val="18"/>
              </w:rPr>
              <w:t>/</w:t>
            </w:r>
            <w:r w:rsidR="005D2B0D">
              <w:rPr>
                <w:rFonts w:ascii="Arial" w:hAnsi="Arial" w:cs="Arial"/>
                <w:color w:val="000000" w:themeColor="text1"/>
                <w:sz w:val="18"/>
                <w:szCs w:val="18"/>
              </w:rPr>
              <w:t>2</w:t>
            </w:r>
            <w:r>
              <w:rPr>
                <w:rFonts w:ascii="Arial" w:hAnsi="Arial" w:cs="Arial"/>
                <w:color w:val="000000" w:themeColor="text1"/>
                <w:sz w:val="18"/>
                <w:szCs w:val="18"/>
              </w:rPr>
              <w:t>/2024</w:t>
            </w:r>
          </w:p>
        </w:tc>
        <w:tc>
          <w:tcPr>
            <w:tcW w:w="1568" w:type="dxa"/>
            <w:vAlign w:val="center"/>
          </w:tcPr>
          <w:p w14:paraId="0378DC4D" w14:textId="61D92DB6"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$4.35</w:t>
            </w:r>
          </w:p>
        </w:tc>
        <w:tc>
          <w:tcPr>
            <w:tcW w:w="1916" w:type="dxa"/>
            <w:vAlign w:val="center"/>
          </w:tcPr>
          <w:p w14:paraId="4EA83057" w14:textId="24842E4A"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+2.6%</w:t>
            </w:r>
          </w:p>
        </w:tc>
        <w:tc>
          <w:tcPr>
            <w:tcW w:w="2276" w:type="dxa"/>
            <w:vAlign w:val="center"/>
          </w:tcPr>
          <w:p w14:paraId="2553668E" w14:textId="531A12DD"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+15.9%</w:t>
            </w:r>
          </w:p>
        </w:tc>
      </w:tr>
      <w:tr w:rsidR="000D6C1A" w:rsidRPr="00FB41A2" w14:paraId="3EEE9FA8" w14:textId="77777777" w:rsidTr="005D2B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437AADA0"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 xml:space="preserve">Processed meat </w:t>
            </w:r>
            <w:r w:rsidR="005D2B0D">
              <w:rPr>
                <w:rFonts w:ascii="Arial" w:hAnsi="Arial" w:cs="Arial"/>
                <w:b w:val="0"/>
                <w:bCs w:val="0"/>
                <w:color w:val="000000" w:themeColor="text1"/>
                <w:sz w:val="18"/>
                <w:szCs w:val="18"/>
              </w:rPr>
              <w:t xml:space="preserve">May </w:t>
            </w:r>
            <w:r>
              <w:rPr>
                <w:rFonts w:ascii="Arial" w:hAnsi="Arial" w:cs="Arial"/>
                <w:b w:val="0"/>
                <w:bCs w:val="0"/>
                <w:color w:val="000000" w:themeColor="text1"/>
                <w:sz w:val="18"/>
                <w:szCs w:val="18"/>
              </w:rPr>
              <w:t>2024</w:t>
            </w:r>
          </w:p>
        </w:tc>
        <w:tc>
          <w:tcPr>
            <w:tcW w:w="1568" w:type="dxa"/>
            <w:shd w:val="clear" w:color="auto" w:fill="D9D9D9" w:themeFill="background1" w:themeFillShade="D9"/>
            <w:vAlign w:val="center"/>
          </w:tcPr>
          <w:p w14:paraId="11F8D089" w14:textId="62DD5669"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$5.03</w:t>
            </w:r>
          </w:p>
        </w:tc>
        <w:tc>
          <w:tcPr>
            <w:tcW w:w="1916" w:type="dxa"/>
            <w:shd w:val="clear" w:color="auto" w:fill="D9D9D9" w:themeFill="background1" w:themeFillShade="D9"/>
            <w:vAlign w:val="center"/>
          </w:tcPr>
          <w:p w14:paraId="1164D3F1" w14:textId="27308894"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w:t>
            </w:r>
          </w:p>
        </w:tc>
        <w:tc>
          <w:tcPr>
            <w:tcW w:w="2276" w:type="dxa"/>
            <w:shd w:val="clear" w:color="auto" w:fill="D9D9D9" w:themeFill="background1" w:themeFillShade="D9"/>
            <w:vAlign w:val="center"/>
          </w:tcPr>
          <w:p w14:paraId="6423728E" w14:textId="4DCC6341" w:rsidR="000D6C1A" w:rsidRPr="00F063CA" w:rsidRDefault="005D2B0D" w:rsidP="000D6C1A">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+16.2%</w:t>
            </w:r>
          </w:p>
        </w:tc>
      </w:tr>
      <w:tr w:rsidR="000D6C1A" w:rsidRPr="00FB41A2" w14:paraId="1B87A5BB" w14:textId="77777777" w:rsidTr="005D2B0D">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4C489000" w:rsidR="000D6C1A" w:rsidRPr="00FB41A2" w:rsidRDefault="000D6C1A" w:rsidP="000D6C1A">
            <w:pPr>
              <w:pStyle w:val="NoSpacing"/>
              <w:rPr>
                <w:rFonts w:ascii="Arial" w:hAnsi="Arial" w:cs="Arial"/>
                <w:color w:val="000000" w:themeColor="text1"/>
                <w:sz w:val="18"/>
                <w:szCs w:val="18"/>
              </w:rPr>
            </w:pPr>
            <w:r w:rsidRPr="00FB41A2">
              <w:rPr>
                <w:rFonts w:ascii="Arial" w:hAnsi="Arial" w:cs="Arial"/>
                <w:color w:val="000000" w:themeColor="text1"/>
                <w:sz w:val="18"/>
                <w:szCs w:val="18"/>
              </w:rPr>
              <w:t xml:space="preserve"> Processed meat latest 52 </w:t>
            </w:r>
            <w:proofErr w:type="spellStart"/>
            <w:r w:rsidRPr="00FB41A2">
              <w:rPr>
                <w:rFonts w:ascii="Arial" w:hAnsi="Arial" w:cs="Arial"/>
                <w:color w:val="000000" w:themeColor="text1"/>
                <w:sz w:val="18"/>
                <w:szCs w:val="18"/>
              </w:rPr>
              <w:t>w.e</w:t>
            </w:r>
            <w:proofErr w:type="spellEnd"/>
            <w:r w:rsidRPr="00FB41A2">
              <w:rPr>
                <w:rFonts w:ascii="Arial" w:hAnsi="Arial" w:cs="Arial"/>
                <w:color w:val="000000" w:themeColor="text1"/>
                <w:sz w:val="18"/>
                <w:szCs w:val="18"/>
              </w:rPr>
              <w:t xml:space="preserve">. </w:t>
            </w:r>
            <w:r w:rsidR="005D2B0D">
              <w:rPr>
                <w:rFonts w:ascii="Arial" w:hAnsi="Arial" w:cs="Arial"/>
                <w:color w:val="000000" w:themeColor="text1"/>
                <w:sz w:val="18"/>
                <w:szCs w:val="18"/>
              </w:rPr>
              <w:t>6</w:t>
            </w:r>
            <w:r>
              <w:rPr>
                <w:rFonts w:ascii="Arial" w:hAnsi="Arial" w:cs="Arial"/>
                <w:color w:val="000000" w:themeColor="text1"/>
                <w:sz w:val="18"/>
                <w:szCs w:val="18"/>
              </w:rPr>
              <w:t>/</w:t>
            </w:r>
            <w:r w:rsidR="005D2B0D">
              <w:rPr>
                <w:rFonts w:ascii="Arial" w:hAnsi="Arial" w:cs="Arial"/>
                <w:color w:val="000000" w:themeColor="text1"/>
                <w:sz w:val="18"/>
                <w:szCs w:val="18"/>
              </w:rPr>
              <w:t>2</w:t>
            </w:r>
            <w:r>
              <w:rPr>
                <w:rFonts w:ascii="Arial" w:hAnsi="Arial" w:cs="Arial"/>
                <w:color w:val="000000" w:themeColor="text1"/>
                <w:sz w:val="18"/>
                <w:szCs w:val="18"/>
              </w:rPr>
              <w:t>/2024</w:t>
            </w:r>
          </w:p>
        </w:tc>
        <w:tc>
          <w:tcPr>
            <w:tcW w:w="1568" w:type="dxa"/>
            <w:vAlign w:val="center"/>
          </w:tcPr>
          <w:p w14:paraId="51A62CEF" w14:textId="4F801958"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$4.88</w:t>
            </w:r>
          </w:p>
        </w:tc>
        <w:tc>
          <w:tcPr>
            <w:tcW w:w="1916" w:type="dxa"/>
            <w:vAlign w:val="center"/>
          </w:tcPr>
          <w:p w14:paraId="6F16B379" w14:textId="0D07D2CF"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-1.1%</w:t>
            </w:r>
          </w:p>
        </w:tc>
        <w:tc>
          <w:tcPr>
            <w:tcW w:w="2276" w:type="dxa"/>
            <w:vAlign w:val="center"/>
          </w:tcPr>
          <w:p w14:paraId="54F02350" w14:textId="6E9D3A66" w:rsidR="000D6C1A" w:rsidRPr="00FB41A2" w:rsidRDefault="005D2B0D" w:rsidP="000D6C1A">
            <w:pPr>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+17.0%</w:t>
            </w:r>
          </w:p>
        </w:tc>
      </w:tr>
    </w:tbl>
    <w:p w14:paraId="3DEDBF77" w14:textId="6503C191" w:rsidR="003C65CF" w:rsidRPr="008A1AD9" w:rsidRDefault="003C65CF" w:rsidP="003C65CF">
      <w:pPr>
        <w:pStyle w:val="NoSpacing"/>
        <w:rPr>
          <w:rFonts w:ascii="Arial" w:hAnsi="Arial" w:cs="Arial"/>
          <w:sz w:val="6"/>
          <w:szCs w:val="6"/>
        </w:rPr>
      </w:pPr>
    </w:p>
    <w:p w14:paraId="30A7027C" w14:textId="24EA6F56" w:rsidR="002D593A" w:rsidRPr="00882834" w:rsidRDefault="003C65CF" w:rsidP="00FB7738">
      <w:pPr>
        <w:pStyle w:val="NoSpacing"/>
        <w:rPr>
          <w:rFonts w:ascii="Arial" w:hAnsi="Arial" w:cs="Arial"/>
          <w:color w:val="7F7F7F" w:themeColor="text1" w:themeTint="80"/>
          <w:sz w:val="16"/>
          <w:szCs w:val="16"/>
        </w:rPr>
      </w:pPr>
      <w:r w:rsidRPr="00882834">
        <w:rPr>
          <w:rFonts w:ascii="Arial" w:hAnsi="Arial" w:cs="Arial"/>
          <w:color w:val="7F7F7F" w:themeColor="text1" w:themeTint="80"/>
          <w:sz w:val="16"/>
          <w:szCs w:val="16"/>
        </w:rPr>
        <w:t xml:space="preserve">Source: </w:t>
      </w:r>
      <w:proofErr w:type="spellStart"/>
      <w:r w:rsidR="00FB48FE" w:rsidRPr="00882834">
        <w:rPr>
          <w:rFonts w:ascii="Arial" w:hAnsi="Arial" w:cs="Arial"/>
          <w:color w:val="7F7F7F" w:themeColor="text1" w:themeTint="80"/>
          <w:sz w:val="16"/>
          <w:szCs w:val="16"/>
        </w:rPr>
        <w:t>Circana</w:t>
      </w:r>
      <w:proofErr w:type="spellEnd"/>
      <w:r w:rsidRPr="00882834">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26B5C10C" w14:textId="77777777" w:rsidR="00D85BA4" w:rsidRDefault="00D85BA4" w:rsidP="003C65CF">
      <w:pPr>
        <w:pStyle w:val="NoSpacing"/>
        <w:rPr>
          <w:rFonts w:ascii="Arial" w:hAnsi="Arial" w:cs="Arial"/>
          <w:sz w:val="20"/>
          <w:szCs w:val="20"/>
        </w:rPr>
      </w:pPr>
    </w:p>
    <w:p w14:paraId="6F19141B" w14:textId="5B962F6D" w:rsidR="00D84D95" w:rsidRDefault="005D2B0D" w:rsidP="003C65CF">
      <w:pPr>
        <w:pStyle w:val="NoSpacing"/>
        <w:rPr>
          <w:rFonts w:ascii="Arial" w:hAnsi="Arial" w:cs="Arial"/>
          <w:sz w:val="20"/>
          <w:szCs w:val="20"/>
        </w:rPr>
      </w:pPr>
      <w:r>
        <w:rPr>
          <w:rFonts w:ascii="Arial" w:hAnsi="Arial" w:cs="Arial"/>
          <w:sz w:val="20"/>
          <w:szCs w:val="20"/>
        </w:rPr>
        <w:t xml:space="preserve">May </w:t>
      </w:r>
      <w:r w:rsidR="0026382C">
        <w:rPr>
          <w:rFonts w:ascii="Arial" w:hAnsi="Arial" w:cs="Arial"/>
          <w:sz w:val="20"/>
          <w:szCs w:val="20"/>
        </w:rPr>
        <w:t xml:space="preserve">brought </w:t>
      </w:r>
      <w:r w:rsidR="006D1042">
        <w:rPr>
          <w:rFonts w:ascii="Arial" w:hAnsi="Arial" w:cs="Arial"/>
          <w:sz w:val="20"/>
          <w:szCs w:val="20"/>
        </w:rPr>
        <w:t xml:space="preserve">a mix of price movements. </w:t>
      </w:r>
      <w:r w:rsidR="00182993">
        <w:rPr>
          <w:rFonts w:ascii="Arial" w:hAnsi="Arial" w:cs="Arial"/>
          <w:sz w:val="20"/>
          <w:szCs w:val="20"/>
        </w:rPr>
        <w:t>Pork, beef and bacon, in particular, experienced increases in price.</w:t>
      </w:r>
      <w:r w:rsidR="00F4604D">
        <w:rPr>
          <w:rFonts w:ascii="Arial" w:hAnsi="Arial" w:cs="Arial"/>
          <w:sz w:val="20"/>
          <w:szCs w:val="20"/>
        </w:rPr>
        <w:t xml:space="preserve"> This is a reversal for bacon that had been experiencing deflation throughout much of 2023 and the early part of 2024. </w:t>
      </w:r>
      <w:r w:rsidR="00182993">
        <w:rPr>
          <w:rFonts w:ascii="Arial" w:hAnsi="Arial" w:cs="Arial"/>
          <w:sz w:val="20"/>
          <w:szCs w:val="20"/>
        </w:rPr>
        <w:t xml:space="preserve">Lamb, turkey and processed chicken experienced substantial price declines. </w:t>
      </w:r>
    </w:p>
    <w:p w14:paraId="2504AC37" w14:textId="77777777" w:rsidR="00C771BB" w:rsidRDefault="00C771BB" w:rsidP="003C65CF">
      <w:pPr>
        <w:pStyle w:val="NoSpacing"/>
        <w:rPr>
          <w:rFonts w:ascii="Arial" w:hAnsi="Arial" w:cs="Arial"/>
          <w:sz w:val="20"/>
          <w:szCs w:val="20"/>
        </w:rPr>
      </w:pPr>
    </w:p>
    <w:p w14:paraId="666BC48F" w14:textId="77777777" w:rsidR="00C771BB" w:rsidRPr="00BB6906" w:rsidRDefault="00C771BB" w:rsidP="003C65CF">
      <w:pPr>
        <w:pStyle w:val="NoSpacing"/>
        <w:rPr>
          <w:rFonts w:ascii="Arial" w:hAnsi="Arial" w:cs="Arial"/>
          <w:sz w:val="20"/>
          <w:szCs w:val="20"/>
        </w:rPr>
      </w:pPr>
    </w:p>
    <w:p w14:paraId="05C861A9" w14:textId="77777777" w:rsidR="00AF5E34" w:rsidRDefault="00AF5E34" w:rsidP="00BB6906">
      <w:pPr>
        <w:pStyle w:val="NoSpacing"/>
        <w:rPr>
          <w:rFonts w:ascii="Arial" w:hAnsi="Arial" w:cs="Arial"/>
          <w:sz w:val="20"/>
          <w:szCs w:val="20"/>
        </w:rPr>
      </w:pP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773"/>
        <w:gridCol w:w="1260"/>
        <w:gridCol w:w="1277"/>
        <w:gridCol w:w="2160"/>
        <w:gridCol w:w="1087"/>
        <w:gridCol w:w="1508"/>
      </w:tblGrid>
      <w:tr w:rsidR="00F10E39" w:rsidRPr="003C245B" w14:paraId="46707496" w14:textId="03010C93" w:rsidTr="0018299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bottom w:val="none" w:sz="0" w:space="0" w:color="auto"/>
            </w:tcBorders>
            <w:shd w:val="clear" w:color="auto" w:fill="17365D" w:themeFill="text2" w:themeFillShade="BF"/>
            <w:vAlign w:val="center"/>
          </w:tcPr>
          <w:p w14:paraId="20D1E7FB" w14:textId="331D5456" w:rsidR="00F10E39" w:rsidRPr="00182993" w:rsidRDefault="005D2B0D" w:rsidP="00A27621">
            <w:pPr>
              <w:pStyle w:val="NoSpacing"/>
              <w:rPr>
                <w:rFonts w:ascii="Arial" w:hAnsi="Arial" w:cs="Arial"/>
                <w:color w:val="FFFFFF" w:themeColor="background1"/>
                <w:sz w:val="20"/>
                <w:szCs w:val="20"/>
              </w:rPr>
            </w:pPr>
            <w:bookmarkStart w:id="5" w:name="_Hlk102723196"/>
            <w:r w:rsidRPr="00182993">
              <w:rPr>
                <w:rFonts w:ascii="Arial" w:hAnsi="Arial" w:cs="Arial"/>
                <w:color w:val="FFFFFF" w:themeColor="background1"/>
                <w:sz w:val="20"/>
                <w:szCs w:val="20"/>
              </w:rPr>
              <w:t xml:space="preserve">May </w:t>
            </w:r>
            <w:r w:rsidR="001F639F" w:rsidRPr="00182993">
              <w:rPr>
                <w:rFonts w:ascii="Arial" w:hAnsi="Arial" w:cs="Arial"/>
                <w:color w:val="FFFFFF" w:themeColor="background1"/>
                <w:sz w:val="20"/>
                <w:szCs w:val="20"/>
              </w:rPr>
              <w:t>2024</w:t>
            </w:r>
          </w:p>
        </w:tc>
        <w:tc>
          <w:tcPr>
            <w:tcW w:w="1260" w:type="dxa"/>
            <w:tcBorders>
              <w:top w:val="none" w:sz="0" w:space="0" w:color="auto"/>
              <w:bottom w:val="none" w:sz="0" w:space="0" w:color="auto"/>
            </w:tcBorders>
            <w:shd w:val="clear" w:color="auto" w:fill="17365D" w:themeFill="text2" w:themeFillShade="BF"/>
            <w:vAlign w:val="center"/>
          </w:tcPr>
          <w:p w14:paraId="2FBD3E48"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277" w:type="dxa"/>
            <w:tcBorders>
              <w:top w:val="none" w:sz="0" w:space="0" w:color="auto"/>
              <w:bottom w:val="none" w:sz="0" w:space="0" w:color="auto"/>
            </w:tcBorders>
            <w:shd w:val="clear" w:color="auto" w:fill="17365D" w:themeFill="text2" w:themeFillShade="BF"/>
            <w:vAlign w:val="center"/>
          </w:tcPr>
          <w:p w14:paraId="0A0B2F8B"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18299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r>
      <w:tr w:rsidR="00182993" w:rsidRPr="00C267F7" w14:paraId="283F595F" w14:textId="1C970840"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335722F" w14:textId="2C02950A"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1260" w:type="dxa"/>
            <w:shd w:val="clear" w:color="auto" w:fill="D9D9D9" w:themeFill="background1" w:themeFillShade="D9"/>
            <w:vAlign w:val="bottom"/>
          </w:tcPr>
          <w:p w14:paraId="146A7129" w14:textId="465AA78D"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$6.73</w:t>
            </w:r>
          </w:p>
        </w:tc>
        <w:tc>
          <w:tcPr>
            <w:tcW w:w="1277" w:type="dxa"/>
            <w:tcBorders>
              <w:right w:val="single" w:sz="4" w:space="0" w:color="31849B" w:themeColor="accent5" w:themeShade="BF"/>
            </w:tcBorders>
            <w:shd w:val="clear" w:color="auto" w:fill="D9D9D9" w:themeFill="background1" w:themeFillShade="D9"/>
            <w:vAlign w:val="bottom"/>
          </w:tcPr>
          <w:p w14:paraId="5283DD94" w14:textId="67ACD8F2"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+4.4%</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beef</w:t>
            </w:r>
          </w:p>
        </w:tc>
        <w:tc>
          <w:tcPr>
            <w:tcW w:w="1087" w:type="dxa"/>
            <w:shd w:val="clear" w:color="auto" w:fill="D9D9D9" w:themeFill="background1" w:themeFillShade="D9"/>
            <w:vAlign w:val="bottom"/>
          </w:tcPr>
          <w:p w14:paraId="2C2E1895" w14:textId="4C9AA759"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$6.53</w:t>
            </w:r>
          </w:p>
        </w:tc>
        <w:tc>
          <w:tcPr>
            <w:tcW w:w="1508" w:type="dxa"/>
            <w:shd w:val="clear" w:color="auto" w:fill="D9D9D9" w:themeFill="background1" w:themeFillShade="D9"/>
            <w:vAlign w:val="bottom"/>
          </w:tcPr>
          <w:p w14:paraId="7F71E690" w14:textId="1A351B01"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+6.3%</w:t>
            </w:r>
          </w:p>
        </w:tc>
      </w:tr>
      <w:tr w:rsidR="00182993" w:rsidRPr="00C267F7" w14:paraId="40BFAA9F" w14:textId="4FA72BBB"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1544BE2" w14:textId="304B9460"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1260" w:type="dxa"/>
            <w:vAlign w:val="bottom"/>
          </w:tcPr>
          <w:p w14:paraId="39EFE3AF" w14:textId="0E1FB447"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$3.06</w:t>
            </w:r>
          </w:p>
        </w:tc>
        <w:tc>
          <w:tcPr>
            <w:tcW w:w="1277" w:type="dxa"/>
            <w:tcBorders>
              <w:right w:val="single" w:sz="4" w:space="0" w:color="31849B" w:themeColor="accent5" w:themeShade="BF"/>
            </w:tcBorders>
            <w:vAlign w:val="bottom"/>
          </w:tcPr>
          <w:p w14:paraId="42FE8E76" w14:textId="6D0BB1EC"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+1.2%</w:t>
            </w:r>
          </w:p>
        </w:tc>
        <w:tc>
          <w:tcPr>
            <w:tcW w:w="2160" w:type="dxa"/>
            <w:tcBorders>
              <w:left w:val="single" w:sz="4" w:space="0" w:color="31849B" w:themeColor="accent5" w:themeShade="BF"/>
            </w:tcBorders>
            <w:vAlign w:val="center"/>
          </w:tcPr>
          <w:p w14:paraId="5B4583DE" w14:textId="0517DC14"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chicken</w:t>
            </w:r>
          </w:p>
        </w:tc>
        <w:tc>
          <w:tcPr>
            <w:tcW w:w="1087" w:type="dxa"/>
            <w:vAlign w:val="bottom"/>
          </w:tcPr>
          <w:p w14:paraId="14E0BACF" w14:textId="05A4A850"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$3.05</w:t>
            </w:r>
          </w:p>
        </w:tc>
        <w:tc>
          <w:tcPr>
            <w:tcW w:w="1508" w:type="dxa"/>
            <w:vAlign w:val="bottom"/>
          </w:tcPr>
          <w:p w14:paraId="0C6B64E7" w14:textId="71B4CCE2"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-2.0%</w:t>
            </w:r>
          </w:p>
        </w:tc>
      </w:tr>
      <w:tr w:rsidR="00182993" w:rsidRPr="00C267F7" w14:paraId="03CE81FF" w14:textId="0F0AB342"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4016351" w14:textId="1E2970DA"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1260" w:type="dxa"/>
            <w:shd w:val="clear" w:color="auto" w:fill="D9D9D9" w:themeFill="background1" w:themeFillShade="D9"/>
            <w:vAlign w:val="bottom"/>
          </w:tcPr>
          <w:p w14:paraId="144BCDD4" w14:textId="11148CBA"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$3.22</w:t>
            </w:r>
          </w:p>
        </w:tc>
        <w:tc>
          <w:tcPr>
            <w:tcW w:w="1277" w:type="dxa"/>
            <w:tcBorders>
              <w:right w:val="single" w:sz="4" w:space="0" w:color="31849B" w:themeColor="accent5" w:themeShade="BF"/>
            </w:tcBorders>
            <w:shd w:val="clear" w:color="auto" w:fill="D9D9D9" w:themeFill="background1" w:themeFillShade="D9"/>
            <w:vAlign w:val="bottom"/>
          </w:tcPr>
          <w:p w14:paraId="3B2408B8" w14:textId="74B5AE28"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+5.4%</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pork</w:t>
            </w:r>
          </w:p>
        </w:tc>
        <w:tc>
          <w:tcPr>
            <w:tcW w:w="1087" w:type="dxa"/>
            <w:shd w:val="clear" w:color="auto" w:fill="D9D9D9" w:themeFill="background1" w:themeFillShade="D9"/>
            <w:vAlign w:val="bottom"/>
          </w:tcPr>
          <w:p w14:paraId="11897FF3" w14:textId="62C09565"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$3.14</w:t>
            </w:r>
          </w:p>
        </w:tc>
        <w:tc>
          <w:tcPr>
            <w:tcW w:w="1508" w:type="dxa"/>
            <w:shd w:val="clear" w:color="auto" w:fill="D9D9D9" w:themeFill="background1" w:themeFillShade="D9"/>
            <w:vAlign w:val="bottom"/>
          </w:tcPr>
          <w:p w14:paraId="62FE5415" w14:textId="0259ADB7"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+0.5%</w:t>
            </w:r>
          </w:p>
        </w:tc>
      </w:tr>
      <w:tr w:rsidR="00182993" w:rsidRPr="00C267F7" w14:paraId="229CC4A4" w14:textId="51EC9C6B"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45DD4E7" w14:textId="0D5E67B1"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1260" w:type="dxa"/>
            <w:vAlign w:val="bottom"/>
          </w:tcPr>
          <w:p w14:paraId="3EBD5D69" w14:textId="04AACEE9"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$4.14</w:t>
            </w:r>
          </w:p>
        </w:tc>
        <w:tc>
          <w:tcPr>
            <w:tcW w:w="1277" w:type="dxa"/>
            <w:tcBorders>
              <w:right w:val="single" w:sz="4" w:space="0" w:color="31849B" w:themeColor="accent5" w:themeShade="BF"/>
            </w:tcBorders>
            <w:vAlign w:val="bottom"/>
          </w:tcPr>
          <w:p w14:paraId="01B56788" w14:textId="05AFC7A8"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-2.6%</w:t>
            </w:r>
          </w:p>
        </w:tc>
        <w:tc>
          <w:tcPr>
            <w:tcW w:w="2160" w:type="dxa"/>
            <w:tcBorders>
              <w:left w:val="single" w:sz="4" w:space="0" w:color="31849B" w:themeColor="accent5" w:themeShade="BF"/>
            </w:tcBorders>
            <w:vAlign w:val="center"/>
          </w:tcPr>
          <w:p w14:paraId="7D399932" w14:textId="735371A9"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turkey</w:t>
            </w:r>
          </w:p>
        </w:tc>
        <w:tc>
          <w:tcPr>
            <w:tcW w:w="1087" w:type="dxa"/>
            <w:vAlign w:val="bottom"/>
          </w:tcPr>
          <w:p w14:paraId="25B71BAF" w14:textId="35057B00"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$2.68</w:t>
            </w:r>
          </w:p>
        </w:tc>
        <w:tc>
          <w:tcPr>
            <w:tcW w:w="1508" w:type="dxa"/>
            <w:vAlign w:val="bottom"/>
          </w:tcPr>
          <w:p w14:paraId="7CADE09D" w14:textId="4569E95F"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+1.5%</w:t>
            </w:r>
          </w:p>
        </w:tc>
      </w:tr>
      <w:tr w:rsidR="00182993" w:rsidRPr="00C267F7" w14:paraId="7C11163E" w14:textId="358ED149"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73309EDE" w14:textId="58968F19"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1260" w:type="dxa"/>
            <w:shd w:val="clear" w:color="auto" w:fill="D9D9D9" w:themeFill="background1" w:themeFillShade="D9"/>
            <w:vAlign w:val="bottom"/>
          </w:tcPr>
          <w:p w14:paraId="2B4B9BF1" w14:textId="4ACAD616"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$8.04</w:t>
            </w:r>
          </w:p>
        </w:tc>
        <w:tc>
          <w:tcPr>
            <w:tcW w:w="1277" w:type="dxa"/>
            <w:tcBorders>
              <w:right w:val="single" w:sz="4" w:space="0" w:color="31849B" w:themeColor="accent5" w:themeShade="BF"/>
            </w:tcBorders>
            <w:shd w:val="clear" w:color="auto" w:fill="D9D9D9" w:themeFill="background1" w:themeFillShade="D9"/>
            <w:vAlign w:val="bottom"/>
          </w:tcPr>
          <w:p w14:paraId="0EAA389B" w14:textId="7A29C424"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-9.2%</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lamb</w:t>
            </w:r>
          </w:p>
        </w:tc>
        <w:tc>
          <w:tcPr>
            <w:tcW w:w="1087" w:type="dxa"/>
            <w:shd w:val="clear" w:color="auto" w:fill="D9D9D9" w:themeFill="background1" w:themeFillShade="D9"/>
            <w:vAlign w:val="bottom"/>
          </w:tcPr>
          <w:p w14:paraId="64B1B28B" w14:textId="0302B262"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$8.22</w:t>
            </w:r>
          </w:p>
        </w:tc>
        <w:tc>
          <w:tcPr>
            <w:tcW w:w="1508" w:type="dxa"/>
            <w:shd w:val="clear" w:color="auto" w:fill="D9D9D9" w:themeFill="background1" w:themeFillShade="D9"/>
            <w:vAlign w:val="bottom"/>
          </w:tcPr>
          <w:p w14:paraId="101B702A" w14:textId="2E5BFD02"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-9.9%</w:t>
            </w:r>
          </w:p>
        </w:tc>
      </w:tr>
      <w:tr w:rsidR="00182993" w:rsidRPr="00C267F7" w14:paraId="46FFF366" w14:textId="07AAC3CB"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68F3672"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1260" w:type="dxa"/>
            <w:vAlign w:val="bottom"/>
          </w:tcPr>
          <w:p w14:paraId="2F2878E0" w14:textId="26F89FB4"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$9.90</w:t>
            </w:r>
          </w:p>
        </w:tc>
        <w:tc>
          <w:tcPr>
            <w:tcW w:w="1277" w:type="dxa"/>
            <w:tcBorders>
              <w:right w:val="single" w:sz="4" w:space="0" w:color="31849B" w:themeColor="accent5" w:themeShade="BF"/>
            </w:tcBorders>
            <w:vAlign w:val="bottom"/>
          </w:tcPr>
          <w:p w14:paraId="3EB1EB76" w14:textId="78E72572"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+2.8%</w:t>
            </w:r>
          </w:p>
        </w:tc>
        <w:tc>
          <w:tcPr>
            <w:tcW w:w="2160" w:type="dxa"/>
            <w:tcBorders>
              <w:left w:val="single" w:sz="4" w:space="0" w:color="31849B" w:themeColor="accent5" w:themeShade="BF"/>
            </w:tcBorders>
            <w:vAlign w:val="center"/>
          </w:tcPr>
          <w:p w14:paraId="3D25EFA1" w14:textId="0D2872A0"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exotic</w:t>
            </w:r>
          </w:p>
        </w:tc>
        <w:tc>
          <w:tcPr>
            <w:tcW w:w="1087" w:type="dxa"/>
            <w:vAlign w:val="bottom"/>
          </w:tcPr>
          <w:p w14:paraId="7366C5C2" w14:textId="74ACE990"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$8.59</w:t>
            </w:r>
          </w:p>
        </w:tc>
        <w:tc>
          <w:tcPr>
            <w:tcW w:w="1508" w:type="dxa"/>
            <w:vAlign w:val="bottom"/>
          </w:tcPr>
          <w:p w14:paraId="48BD8E40" w14:textId="0B2ABB95"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+6.0%</w:t>
            </w:r>
          </w:p>
        </w:tc>
      </w:tr>
      <w:tr w:rsidR="00182993" w:rsidRPr="00C267F7" w14:paraId="61635BD3" w14:textId="2B0700F2"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4295FA0"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1260" w:type="dxa"/>
            <w:shd w:val="clear" w:color="auto" w:fill="D9D9D9" w:themeFill="background1" w:themeFillShade="D9"/>
            <w:vAlign w:val="bottom"/>
          </w:tcPr>
          <w:p w14:paraId="22467995" w14:textId="3A18AE6C"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$6.15</w:t>
            </w:r>
          </w:p>
        </w:tc>
        <w:tc>
          <w:tcPr>
            <w:tcW w:w="1277" w:type="dxa"/>
            <w:tcBorders>
              <w:right w:val="single" w:sz="4" w:space="0" w:color="31849B" w:themeColor="accent5" w:themeShade="BF"/>
            </w:tcBorders>
            <w:shd w:val="clear" w:color="auto" w:fill="D9D9D9" w:themeFill="background1" w:themeFillShade="D9"/>
            <w:vAlign w:val="bottom"/>
          </w:tcPr>
          <w:p w14:paraId="04B317A8" w14:textId="56947C6D"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+9.3%</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Bacon</w:t>
            </w:r>
          </w:p>
        </w:tc>
        <w:tc>
          <w:tcPr>
            <w:tcW w:w="1087" w:type="dxa"/>
            <w:shd w:val="clear" w:color="auto" w:fill="D9D9D9" w:themeFill="background1" w:themeFillShade="D9"/>
            <w:vAlign w:val="bottom"/>
          </w:tcPr>
          <w:p w14:paraId="39302DE6" w14:textId="52F3086A"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$6.05</w:t>
            </w:r>
          </w:p>
        </w:tc>
        <w:tc>
          <w:tcPr>
            <w:tcW w:w="1508" w:type="dxa"/>
            <w:shd w:val="clear" w:color="auto" w:fill="D9D9D9" w:themeFill="background1" w:themeFillShade="D9"/>
            <w:vAlign w:val="bottom"/>
          </w:tcPr>
          <w:p w14:paraId="085DA66D" w14:textId="4028851D"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-2.1%</w:t>
            </w:r>
          </w:p>
        </w:tc>
      </w:tr>
      <w:tr w:rsidR="00182993" w:rsidRPr="00C267F7" w14:paraId="225C0BFC" w14:textId="0BC65D39"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BC69A73"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1260" w:type="dxa"/>
            <w:vAlign w:val="bottom"/>
          </w:tcPr>
          <w:p w14:paraId="4D1FFDBA" w14:textId="2EC51229"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$5.90</w:t>
            </w:r>
          </w:p>
        </w:tc>
        <w:tc>
          <w:tcPr>
            <w:tcW w:w="1277" w:type="dxa"/>
            <w:tcBorders>
              <w:right w:val="single" w:sz="4" w:space="0" w:color="31849B" w:themeColor="accent5" w:themeShade="BF"/>
            </w:tcBorders>
            <w:vAlign w:val="bottom"/>
          </w:tcPr>
          <w:p w14:paraId="5F559B24" w14:textId="67528B45"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-3.3%</w:t>
            </w:r>
          </w:p>
        </w:tc>
        <w:tc>
          <w:tcPr>
            <w:tcW w:w="2160" w:type="dxa"/>
            <w:tcBorders>
              <w:left w:val="single" w:sz="4" w:space="0" w:color="31849B" w:themeColor="accent5" w:themeShade="BF"/>
            </w:tcBorders>
            <w:vAlign w:val="center"/>
          </w:tcPr>
          <w:p w14:paraId="53F2FAF8" w14:textId="2A046A1E"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Packaged lunchmeat</w:t>
            </w:r>
          </w:p>
        </w:tc>
        <w:tc>
          <w:tcPr>
            <w:tcW w:w="1087" w:type="dxa"/>
            <w:vAlign w:val="bottom"/>
          </w:tcPr>
          <w:p w14:paraId="2B92DCD4" w14:textId="02A26D3B"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$5.92</w:t>
            </w:r>
          </w:p>
        </w:tc>
        <w:tc>
          <w:tcPr>
            <w:tcW w:w="1508" w:type="dxa"/>
            <w:vAlign w:val="bottom"/>
          </w:tcPr>
          <w:p w14:paraId="3C2E7799" w14:textId="75B899B6"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-0.7%</w:t>
            </w:r>
          </w:p>
        </w:tc>
      </w:tr>
      <w:tr w:rsidR="00182993" w:rsidRPr="00C267F7" w14:paraId="275A5FB4" w14:textId="5DAF0677"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40448AA1"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1260" w:type="dxa"/>
            <w:shd w:val="clear" w:color="auto" w:fill="D9D9D9" w:themeFill="background1" w:themeFillShade="D9"/>
            <w:vAlign w:val="bottom"/>
          </w:tcPr>
          <w:p w14:paraId="2087124A" w14:textId="2B6BEEF6"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$4.43</w:t>
            </w:r>
          </w:p>
        </w:tc>
        <w:tc>
          <w:tcPr>
            <w:tcW w:w="1277" w:type="dxa"/>
            <w:tcBorders>
              <w:right w:val="single" w:sz="4" w:space="0" w:color="31849B" w:themeColor="accent5" w:themeShade="BF"/>
            </w:tcBorders>
            <w:shd w:val="clear" w:color="auto" w:fill="D9D9D9" w:themeFill="background1" w:themeFillShade="D9"/>
            <w:vAlign w:val="bottom"/>
          </w:tcPr>
          <w:p w14:paraId="78D56584" w14:textId="3249E3E3"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-0.1%</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Dinner sausage</w:t>
            </w:r>
          </w:p>
        </w:tc>
        <w:tc>
          <w:tcPr>
            <w:tcW w:w="1087" w:type="dxa"/>
            <w:shd w:val="clear" w:color="auto" w:fill="D9D9D9" w:themeFill="background1" w:themeFillShade="D9"/>
            <w:vAlign w:val="bottom"/>
          </w:tcPr>
          <w:p w14:paraId="467585C4" w14:textId="4D1877BF"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$4.46</w:t>
            </w:r>
          </w:p>
        </w:tc>
        <w:tc>
          <w:tcPr>
            <w:tcW w:w="1508" w:type="dxa"/>
            <w:shd w:val="clear" w:color="auto" w:fill="D9D9D9" w:themeFill="background1" w:themeFillShade="D9"/>
            <w:vAlign w:val="bottom"/>
          </w:tcPr>
          <w:p w14:paraId="259992A9" w14:textId="01441139"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-1.3%</w:t>
            </w:r>
          </w:p>
        </w:tc>
      </w:tr>
      <w:tr w:rsidR="00182993" w:rsidRPr="00C267F7" w14:paraId="1800BB78" w14:textId="0F9C2ACC"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51164332"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1260" w:type="dxa"/>
            <w:vAlign w:val="bottom"/>
          </w:tcPr>
          <w:p w14:paraId="5E1CC7F4" w14:textId="56B8B6FB"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$3.64</w:t>
            </w:r>
          </w:p>
        </w:tc>
        <w:tc>
          <w:tcPr>
            <w:tcW w:w="1277" w:type="dxa"/>
            <w:tcBorders>
              <w:right w:val="single" w:sz="4" w:space="0" w:color="31849B" w:themeColor="accent5" w:themeShade="BF"/>
            </w:tcBorders>
            <w:vAlign w:val="bottom"/>
          </w:tcPr>
          <w:p w14:paraId="112FBFF9" w14:textId="19763EBC"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+2.7%</w:t>
            </w:r>
          </w:p>
        </w:tc>
        <w:tc>
          <w:tcPr>
            <w:tcW w:w="2160" w:type="dxa"/>
            <w:tcBorders>
              <w:left w:val="single" w:sz="4" w:space="0" w:color="31849B" w:themeColor="accent5" w:themeShade="BF"/>
            </w:tcBorders>
            <w:vAlign w:val="center"/>
          </w:tcPr>
          <w:p w14:paraId="75229FEF" w14:textId="553484E3"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Frankfurters</w:t>
            </w:r>
          </w:p>
        </w:tc>
        <w:tc>
          <w:tcPr>
            <w:tcW w:w="1087" w:type="dxa"/>
            <w:vAlign w:val="bottom"/>
          </w:tcPr>
          <w:p w14:paraId="4C5E8D22" w14:textId="0534B050"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$3.55</w:t>
            </w:r>
          </w:p>
        </w:tc>
        <w:tc>
          <w:tcPr>
            <w:tcW w:w="1508" w:type="dxa"/>
            <w:vAlign w:val="bottom"/>
          </w:tcPr>
          <w:p w14:paraId="62592E30" w14:textId="016AF3FC"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+2.0%</w:t>
            </w:r>
          </w:p>
        </w:tc>
      </w:tr>
      <w:tr w:rsidR="00182993" w:rsidRPr="00C267F7" w14:paraId="4C48DCB9" w14:textId="124DC34D"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F249CA5"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Breakfast sausage</w:t>
            </w:r>
          </w:p>
        </w:tc>
        <w:tc>
          <w:tcPr>
            <w:tcW w:w="1260" w:type="dxa"/>
            <w:shd w:val="clear" w:color="auto" w:fill="D9D9D9" w:themeFill="background1" w:themeFillShade="D9"/>
            <w:vAlign w:val="bottom"/>
          </w:tcPr>
          <w:p w14:paraId="6A9A4CAA" w14:textId="07D28485"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$4.88</w:t>
            </w:r>
          </w:p>
        </w:tc>
        <w:tc>
          <w:tcPr>
            <w:tcW w:w="1277" w:type="dxa"/>
            <w:tcBorders>
              <w:right w:val="single" w:sz="4" w:space="0" w:color="31849B" w:themeColor="accent5" w:themeShade="BF"/>
            </w:tcBorders>
            <w:shd w:val="clear" w:color="auto" w:fill="D9D9D9" w:themeFill="background1" w:themeFillShade="D9"/>
            <w:vAlign w:val="bottom"/>
          </w:tcPr>
          <w:p w14:paraId="3C7C1729" w14:textId="685183AB"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+1.9%</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182993" w:rsidRPr="00F63B3F"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Breakfast sausage</w:t>
            </w:r>
          </w:p>
        </w:tc>
        <w:tc>
          <w:tcPr>
            <w:tcW w:w="1087" w:type="dxa"/>
            <w:shd w:val="clear" w:color="auto" w:fill="D9D9D9" w:themeFill="background1" w:themeFillShade="D9"/>
            <w:vAlign w:val="bottom"/>
          </w:tcPr>
          <w:p w14:paraId="54F8E3AB" w14:textId="41D8AC9A"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$4.69</w:t>
            </w:r>
          </w:p>
        </w:tc>
        <w:tc>
          <w:tcPr>
            <w:tcW w:w="1508" w:type="dxa"/>
            <w:shd w:val="clear" w:color="auto" w:fill="D9D9D9" w:themeFill="background1" w:themeFillShade="D9"/>
            <w:vAlign w:val="bottom"/>
          </w:tcPr>
          <w:p w14:paraId="6B42EF76" w14:textId="4B4D2C82" w:rsidR="00182993" w:rsidRPr="00F63B3F"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-1.7%</w:t>
            </w:r>
          </w:p>
        </w:tc>
      </w:tr>
      <w:tr w:rsidR="00182993" w:rsidRPr="00C267F7" w14:paraId="4CA2A58E" w14:textId="01E961A1" w:rsidTr="00182993">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2488C4F" w14:textId="77777777" w:rsidR="00182993" w:rsidRPr="00F63B3F" w:rsidRDefault="00182993" w:rsidP="00182993">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Smoked ham</w:t>
            </w:r>
          </w:p>
        </w:tc>
        <w:tc>
          <w:tcPr>
            <w:tcW w:w="1260" w:type="dxa"/>
            <w:vAlign w:val="bottom"/>
          </w:tcPr>
          <w:p w14:paraId="543B8A24" w14:textId="02C5E42F"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$3.60</w:t>
            </w:r>
          </w:p>
        </w:tc>
        <w:tc>
          <w:tcPr>
            <w:tcW w:w="1277" w:type="dxa"/>
            <w:tcBorders>
              <w:right w:val="single" w:sz="4" w:space="0" w:color="31849B" w:themeColor="accent5" w:themeShade="BF"/>
            </w:tcBorders>
            <w:vAlign w:val="bottom"/>
          </w:tcPr>
          <w:p w14:paraId="0B2F5FF2" w14:textId="3F3F3609"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-1.2%</w:t>
            </w:r>
          </w:p>
        </w:tc>
        <w:tc>
          <w:tcPr>
            <w:tcW w:w="2160" w:type="dxa"/>
            <w:tcBorders>
              <w:left w:val="single" w:sz="4" w:space="0" w:color="31849B" w:themeColor="accent5" w:themeShade="BF"/>
            </w:tcBorders>
            <w:vAlign w:val="center"/>
          </w:tcPr>
          <w:p w14:paraId="7153165B" w14:textId="1B8E604C" w:rsidR="00182993" w:rsidRPr="00F63B3F" w:rsidRDefault="00182993" w:rsidP="00182993">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Smoked ham</w:t>
            </w:r>
          </w:p>
        </w:tc>
        <w:tc>
          <w:tcPr>
            <w:tcW w:w="1087" w:type="dxa"/>
            <w:vAlign w:val="bottom"/>
          </w:tcPr>
          <w:p w14:paraId="1B8D9C19" w14:textId="319392EC"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$2.84</w:t>
            </w:r>
          </w:p>
        </w:tc>
        <w:tc>
          <w:tcPr>
            <w:tcW w:w="1508" w:type="dxa"/>
            <w:vAlign w:val="bottom"/>
          </w:tcPr>
          <w:p w14:paraId="22AA1904" w14:textId="72220E71" w:rsidR="00182993" w:rsidRPr="00F63B3F" w:rsidRDefault="00182993" w:rsidP="00182993">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sz w:val="18"/>
                <w:szCs w:val="18"/>
              </w:rPr>
              <w:t>-2.4%</w:t>
            </w:r>
          </w:p>
        </w:tc>
      </w:tr>
      <w:tr w:rsidR="00182993" w:rsidRPr="00C267F7" w14:paraId="20FBCD3E" w14:textId="728E6F30" w:rsidTr="0018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6B60BC2" w14:textId="77777777" w:rsidR="00182993" w:rsidRPr="00182993" w:rsidRDefault="00182993" w:rsidP="00182993">
            <w:pPr>
              <w:pStyle w:val="NoSpacing"/>
              <w:ind w:left="67"/>
              <w:rPr>
                <w:rFonts w:ascii="Arial" w:hAnsi="Arial" w:cs="Arial"/>
                <w:b w:val="0"/>
                <w:color w:val="000000" w:themeColor="text1"/>
                <w:sz w:val="20"/>
                <w:szCs w:val="20"/>
              </w:rPr>
            </w:pPr>
            <w:r w:rsidRPr="00182993">
              <w:rPr>
                <w:rFonts w:ascii="Arial" w:hAnsi="Arial" w:cs="Arial"/>
                <w:b w:val="0"/>
                <w:color w:val="000000" w:themeColor="text1"/>
                <w:sz w:val="20"/>
                <w:szCs w:val="20"/>
              </w:rPr>
              <w:t>Processed chicken</w:t>
            </w:r>
          </w:p>
        </w:tc>
        <w:tc>
          <w:tcPr>
            <w:tcW w:w="1260" w:type="dxa"/>
            <w:shd w:val="clear" w:color="auto" w:fill="D9D9D9" w:themeFill="background1" w:themeFillShade="D9"/>
            <w:vAlign w:val="bottom"/>
          </w:tcPr>
          <w:p w14:paraId="60EDDCC7" w14:textId="27CC7689" w:rsidR="00182993" w:rsidRPr="00182993"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82993">
              <w:rPr>
                <w:rFonts w:ascii="Arial" w:hAnsi="Arial" w:cs="Arial"/>
                <w:bCs/>
                <w:color w:val="000000"/>
                <w:sz w:val="20"/>
                <w:szCs w:val="20"/>
              </w:rPr>
              <w:t>$6.66</w:t>
            </w:r>
          </w:p>
        </w:tc>
        <w:tc>
          <w:tcPr>
            <w:tcW w:w="1277" w:type="dxa"/>
            <w:tcBorders>
              <w:right w:val="single" w:sz="4" w:space="0" w:color="31849B" w:themeColor="accent5" w:themeShade="BF"/>
            </w:tcBorders>
            <w:shd w:val="clear" w:color="auto" w:fill="D9D9D9" w:themeFill="background1" w:themeFillShade="D9"/>
            <w:vAlign w:val="bottom"/>
          </w:tcPr>
          <w:p w14:paraId="203BAD30" w14:textId="25B327F8" w:rsidR="00182993" w:rsidRPr="00182993"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82993">
              <w:rPr>
                <w:rFonts w:ascii="Arial" w:hAnsi="Arial" w:cs="Arial"/>
                <w:bCs/>
                <w:color w:val="000000"/>
                <w:sz w:val="20"/>
                <w:szCs w:val="20"/>
              </w:rPr>
              <w:t>-5.6%</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182993" w:rsidRPr="00182993" w:rsidRDefault="00182993" w:rsidP="00182993">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82993">
              <w:rPr>
                <w:rFonts w:ascii="Arial" w:hAnsi="Arial" w:cs="Arial"/>
                <w:bCs/>
                <w:color w:val="000000" w:themeColor="text1"/>
                <w:sz w:val="20"/>
                <w:szCs w:val="20"/>
              </w:rPr>
              <w:t>Processed chicken</w:t>
            </w:r>
          </w:p>
        </w:tc>
        <w:tc>
          <w:tcPr>
            <w:tcW w:w="1087" w:type="dxa"/>
            <w:shd w:val="clear" w:color="auto" w:fill="D9D9D9" w:themeFill="background1" w:themeFillShade="D9"/>
            <w:vAlign w:val="bottom"/>
          </w:tcPr>
          <w:p w14:paraId="5B2D5D76" w14:textId="1780D770" w:rsidR="00182993" w:rsidRPr="00182993"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82993">
              <w:rPr>
                <w:rFonts w:ascii="Arial" w:hAnsi="Arial" w:cs="Arial"/>
                <w:bCs/>
                <w:color w:val="000000"/>
                <w:sz w:val="20"/>
                <w:szCs w:val="20"/>
              </w:rPr>
              <w:t>$6.73</w:t>
            </w:r>
          </w:p>
        </w:tc>
        <w:tc>
          <w:tcPr>
            <w:tcW w:w="1508" w:type="dxa"/>
            <w:shd w:val="clear" w:color="auto" w:fill="D9D9D9" w:themeFill="background1" w:themeFillShade="D9"/>
            <w:vAlign w:val="bottom"/>
          </w:tcPr>
          <w:p w14:paraId="76676902" w14:textId="52540993" w:rsidR="00182993" w:rsidRPr="00182993" w:rsidRDefault="00182993" w:rsidP="00182993">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82993">
              <w:rPr>
                <w:rFonts w:ascii="Arial" w:hAnsi="Arial" w:cs="Arial"/>
                <w:bCs/>
                <w:color w:val="000000"/>
                <w:sz w:val="20"/>
                <w:szCs w:val="20"/>
              </w:rPr>
              <w:t>-4.6%</w:t>
            </w:r>
          </w:p>
        </w:tc>
      </w:tr>
    </w:tbl>
    <w:p w14:paraId="76FD9724" w14:textId="10DC201E" w:rsidR="00BB6906" w:rsidRPr="001B04EA" w:rsidRDefault="00BB6906" w:rsidP="003C65CF">
      <w:pPr>
        <w:pStyle w:val="NoSpacing"/>
        <w:rPr>
          <w:rFonts w:ascii="Arial" w:hAnsi="Arial" w:cs="Arial"/>
          <w:sz w:val="8"/>
          <w:szCs w:val="8"/>
        </w:rPr>
      </w:pPr>
    </w:p>
    <w:p w14:paraId="799C3530" w14:textId="21A7BEEA"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p w14:paraId="0653C0CD" w14:textId="77777777" w:rsidR="00FB3E79" w:rsidRDefault="00FB3E79" w:rsidP="00BB6906">
      <w:pPr>
        <w:pStyle w:val="NoSpacing"/>
        <w:rPr>
          <w:rFonts w:ascii="Arial" w:hAnsi="Arial" w:cs="Arial"/>
          <w:sz w:val="16"/>
          <w:szCs w:val="16"/>
        </w:rPr>
      </w:pPr>
    </w:p>
    <w:p w14:paraId="491E777B" w14:textId="77777777" w:rsidR="00FB3E79" w:rsidRDefault="00FB3E79" w:rsidP="00BB6906">
      <w:pPr>
        <w:pStyle w:val="NoSpacing"/>
        <w:rPr>
          <w:rFonts w:ascii="Arial" w:hAnsi="Arial" w:cs="Arial"/>
          <w:sz w:val="16"/>
          <w:szCs w:val="16"/>
        </w:rPr>
      </w:pPr>
    </w:p>
    <w:bookmarkEnd w:id="5"/>
    <w:p w14:paraId="78B16F0A" w14:textId="1C5E7E15" w:rsidR="002E4195" w:rsidRDefault="002E4195" w:rsidP="002D6E07">
      <w:pPr>
        <w:spacing w:after="0" w:line="240" w:lineRule="auto"/>
        <w:rPr>
          <w:rFonts w:ascii="Arial" w:hAnsi="Arial" w:cs="Arial"/>
          <w:b/>
          <w:bCs/>
          <w:color w:val="595959" w:themeColor="text1" w:themeTint="A6"/>
          <w:sz w:val="24"/>
          <w:szCs w:val="24"/>
        </w:rPr>
      </w:pPr>
    </w:p>
    <w:p w14:paraId="49FDD588" w14:textId="22B1DBB3"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p>
    <w:p w14:paraId="2C6E34BC" w14:textId="35F99BBF" w:rsidR="00787AFC" w:rsidRDefault="00335BD6" w:rsidP="002D6E07">
      <w:pPr>
        <w:spacing w:after="0" w:line="240" w:lineRule="auto"/>
        <w:rPr>
          <w:rFonts w:ascii="Arial" w:hAnsi="Arial" w:cs="Arial"/>
          <w:sz w:val="20"/>
          <w:szCs w:val="20"/>
        </w:rPr>
      </w:pPr>
      <w:r>
        <w:rPr>
          <w:rFonts w:ascii="Arial" w:hAnsi="Arial" w:cs="Arial"/>
          <w:sz w:val="20"/>
          <w:szCs w:val="20"/>
        </w:rPr>
        <w:t xml:space="preserve">Year-to-date, volume sales have been positive every month with the one exception of April when the shift in Easter timing overrode the general strength of everyday demand. In May, fresh meat pounds were up 1.5% versus last year and 2.5% versus two years ago. This more than offset the declines in processed meat, resulting in a </w:t>
      </w:r>
      <w:proofErr w:type="gramStart"/>
      <w:r>
        <w:rPr>
          <w:rFonts w:ascii="Arial" w:hAnsi="Arial" w:cs="Arial"/>
          <w:sz w:val="20"/>
          <w:szCs w:val="20"/>
        </w:rPr>
        <w:t>0.5% pound</w:t>
      </w:r>
      <w:proofErr w:type="gramEnd"/>
      <w:r>
        <w:rPr>
          <w:rFonts w:ascii="Arial" w:hAnsi="Arial" w:cs="Arial"/>
          <w:sz w:val="20"/>
          <w:szCs w:val="20"/>
        </w:rPr>
        <w:t xml:space="preserve"> increase for the total meat department. </w:t>
      </w:r>
    </w:p>
    <w:p w14:paraId="56B1C16D" w14:textId="77777777" w:rsidR="00335BD6" w:rsidRDefault="00335BD6" w:rsidP="002D6E07">
      <w:pPr>
        <w:spacing w:after="0" w:line="240" w:lineRule="auto"/>
        <w:rPr>
          <w:rFonts w:ascii="Arial" w:hAnsi="Arial" w:cs="Arial"/>
          <w:sz w:val="20"/>
          <w:szCs w:val="20"/>
        </w:rPr>
      </w:pPr>
    </w:p>
    <w:p w14:paraId="196B3789" w14:textId="6139061D" w:rsidR="00335BD6" w:rsidRDefault="00335BD6" w:rsidP="002D6E07">
      <w:pPr>
        <w:spacing w:after="0" w:line="240" w:lineRule="auto"/>
        <w:rPr>
          <w:rFonts w:ascii="Arial" w:hAnsi="Arial" w:cs="Arial"/>
          <w:sz w:val="20"/>
          <w:szCs w:val="20"/>
        </w:rPr>
      </w:pPr>
      <w:r>
        <w:rPr>
          <w:rFonts w:ascii="Arial" w:hAnsi="Arial" w:cs="Arial"/>
          <w:sz w:val="20"/>
          <w:szCs w:val="20"/>
        </w:rPr>
        <w:t>In the 52-week view, pound sales also pulled into positive territory, up 0.6% versus last year and up 0.2% versus two years ago. This is also driven by the strength of demand for fresh meat.</w:t>
      </w:r>
    </w:p>
    <w:p w14:paraId="699CB109" w14:textId="77777777" w:rsidR="00480012" w:rsidRPr="00096680" w:rsidRDefault="00480012"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FE184C">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205B68B8" w:rsidR="00EE5904" w:rsidRPr="00BC7615" w:rsidRDefault="005D2B0D"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 xml:space="preserve">May </w:t>
            </w:r>
            <w:r w:rsidR="001F639F">
              <w:rPr>
                <w:rFonts w:ascii="Arial" w:eastAsia="Times New Roman" w:hAnsi="Arial" w:cs="Arial"/>
                <w:bCs w:val="0"/>
                <w:color w:val="FFFFFF" w:themeColor="background1"/>
                <w:sz w:val="18"/>
                <w:szCs w:val="20"/>
              </w:rPr>
              <w:t>2024</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AD0DD7" w:rsidRPr="00BC7615" w14:paraId="7B659F20" w14:textId="77777777" w:rsidTr="00FE184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tcBorders>
              <w:right w:val="none" w:sz="0" w:space="0" w:color="auto"/>
            </w:tcBorders>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tcBorders>
              <w:left w:val="none" w:sz="0" w:space="0" w:color="auto"/>
              <w:right w:val="none" w:sz="0" w:space="0" w:color="auto"/>
            </w:tcBorders>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tcBorders>
              <w:left w:val="none" w:sz="0" w:space="0" w:color="auto"/>
              <w:right w:val="none" w:sz="0" w:space="0" w:color="auto"/>
            </w:tcBorders>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tcBorders>
              <w:left w:val="none" w:sz="0" w:space="0" w:color="auto"/>
              <w:right w:val="none" w:sz="0" w:space="0" w:color="auto"/>
            </w:tcBorders>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tcBorders>
              <w:left w:val="none" w:sz="0" w:space="0" w:color="auto"/>
              <w:right w:val="none" w:sz="0" w:space="0" w:color="auto"/>
            </w:tcBorders>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tcBorders>
              <w:left w:val="none" w:sz="0" w:space="0" w:color="auto"/>
            </w:tcBorders>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0B1DF1" w14:paraId="08CDE343"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0B1DF1" w:rsidRPr="00FB41A2" w:rsidRDefault="000B1DF1" w:rsidP="000B1DF1">
            <w:pPr>
              <w:rPr>
                <w:rFonts w:ascii="Arial" w:eastAsia="Times New Roman" w:hAnsi="Arial" w:cs="Arial"/>
                <w:b w:val="0"/>
                <w:color w:val="000000" w:themeColor="text1"/>
                <w:sz w:val="18"/>
                <w:szCs w:val="18"/>
              </w:rPr>
            </w:pPr>
            <w:r w:rsidRPr="00FB41A2">
              <w:rPr>
                <w:rFonts w:ascii="Arial" w:hAnsi="Arial" w:cs="Arial"/>
                <w:bCs w:val="0"/>
                <w:color w:val="000000" w:themeColor="text1"/>
                <w:sz w:val="18"/>
                <w:szCs w:val="20"/>
              </w:rPr>
              <w:t>Total meat department</w:t>
            </w:r>
          </w:p>
        </w:tc>
        <w:tc>
          <w:tcPr>
            <w:tcW w:w="882" w:type="dxa"/>
          </w:tcPr>
          <w:p w14:paraId="1D1AC1F9" w14:textId="67C98A20" w:rsidR="000B1DF1" w:rsidRPr="00FB41A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eastAsia="Times New Roman" w:hAnsi="Arial" w:cs="Arial"/>
                <w:color w:val="000000" w:themeColor="text1"/>
                <w:sz w:val="18"/>
                <w:szCs w:val="18"/>
              </w:rPr>
              <w:t>$</w:t>
            </w:r>
            <w:r w:rsidR="00335BD6">
              <w:rPr>
                <w:rFonts w:ascii="Arial" w:eastAsia="Times New Roman" w:hAnsi="Arial" w:cs="Arial"/>
                <w:color w:val="000000" w:themeColor="text1"/>
                <w:sz w:val="18"/>
                <w:szCs w:val="18"/>
              </w:rPr>
              <w:t>9.9</w:t>
            </w:r>
            <w:r w:rsidRPr="00FB41A2">
              <w:rPr>
                <w:rFonts w:ascii="Arial" w:eastAsia="Times New Roman" w:hAnsi="Arial" w:cs="Arial"/>
                <w:color w:val="000000" w:themeColor="text1"/>
                <w:sz w:val="18"/>
                <w:szCs w:val="18"/>
              </w:rPr>
              <w:t>B</w:t>
            </w:r>
          </w:p>
        </w:tc>
        <w:tc>
          <w:tcPr>
            <w:tcW w:w="853" w:type="dxa"/>
          </w:tcPr>
          <w:p w14:paraId="26903F21" w14:textId="1865677E" w:rsidR="000B1DF1" w:rsidRPr="00FB41A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3.3</w:t>
            </w:r>
            <w:r w:rsidRPr="0011390A">
              <w:rPr>
                <w:rFonts w:ascii="Arial" w:hAnsi="Arial" w:cs="Arial"/>
                <w:color w:val="000000" w:themeColor="text1"/>
                <w:sz w:val="18"/>
                <w:szCs w:val="18"/>
              </w:rPr>
              <w:t>%</w:t>
            </w:r>
          </w:p>
        </w:tc>
        <w:tc>
          <w:tcPr>
            <w:tcW w:w="913" w:type="dxa"/>
          </w:tcPr>
          <w:p w14:paraId="06D2AE62" w14:textId="51945583" w:rsidR="000B1DF1" w:rsidRPr="00FB41A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A3DD9">
              <w:rPr>
                <w:rFonts w:ascii="Arial" w:hAnsi="Arial" w:cs="Arial"/>
                <w:color w:val="000000" w:themeColor="text1"/>
                <w:sz w:val="18"/>
                <w:szCs w:val="18"/>
              </w:rPr>
              <w:t>+</w:t>
            </w:r>
            <w:r w:rsidR="00335BD6">
              <w:rPr>
                <w:rFonts w:ascii="Arial" w:hAnsi="Arial" w:cs="Arial"/>
                <w:color w:val="000000" w:themeColor="text1"/>
                <w:sz w:val="18"/>
                <w:szCs w:val="18"/>
              </w:rPr>
              <w:t>3.4</w:t>
            </w:r>
            <w:r w:rsidRPr="007A3DD9">
              <w:rPr>
                <w:rFonts w:ascii="Arial" w:hAnsi="Arial" w:cs="Arial"/>
                <w:color w:val="000000" w:themeColor="text1"/>
                <w:sz w:val="18"/>
                <w:szCs w:val="18"/>
              </w:rPr>
              <w:t>%</w:t>
            </w:r>
          </w:p>
        </w:tc>
        <w:tc>
          <w:tcPr>
            <w:tcW w:w="883" w:type="dxa"/>
          </w:tcPr>
          <w:p w14:paraId="5B788D76" w14:textId="694E530D" w:rsidR="000B1DF1" w:rsidRPr="00FB41A2" w:rsidRDefault="00335BD6"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+0.5</w:t>
            </w:r>
            <w:r w:rsidR="000B1DF1" w:rsidRPr="007A3DD9">
              <w:rPr>
                <w:rFonts w:ascii="Arial" w:hAnsi="Arial" w:cs="Arial"/>
                <w:color w:val="000000" w:themeColor="text1"/>
                <w:sz w:val="18"/>
                <w:szCs w:val="18"/>
              </w:rPr>
              <w:t>%</w:t>
            </w:r>
          </w:p>
        </w:tc>
        <w:tc>
          <w:tcPr>
            <w:tcW w:w="882" w:type="dxa"/>
            <w:tcBorders>
              <w:right w:val="single" w:sz="4" w:space="0" w:color="1F497D" w:themeColor="text2"/>
            </w:tcBorders>
          </w:tcPr>
          <w:p w14:paraId="3AD7D9FC" w14:textId="03AFC925" w:rsidR="000B1DF1" w:rsidRPr="00FB41A2" w:rsidRDefault="00335BD6"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r w:rsidR="000B1DF1" w:rsidRPr="00484845">
              <w:rPr>
                <w:rFonts w:ascii="Arial" w:hAnsi="Arial" w:cs="Arial"/>
                <w:color w:val="000000" w:themeColor="text1"/>
                <w:sz w:val="18"/>
                <w:szCs w:val="18"/>
              </w:rPr>
              <w:t>%</w:t>
            </w:r>
          </w:p>
        </w:tc>
        <w:tc>
          <w:tcPr>
            <w:tcW w:w="832" w:type="dxa"/>
            <w:tcBorders>
              <w:left w:val="single" w:sz="4" w:space="0" w:color="1F497D" w:themeColor="text2"/>
            </w:tcBorders>
          </w:tcPr>
          <w:p w14:paraId="05D26487" w14:textId="2192ECF8" w:rsidR="000B1DF1" w:rsidRPr="00FB41A2" w:rsidRDefault="000D6C1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1.9</w:t>
            </w:r>
            <w:r w:rsidR="000B1DF1" w:rsidRPr="00484845">
              <w:rPr>
                <w:rFonts w:ascii="Arial" w:hAnsi="Arial" w:cs="Arial"/>
                <w:color w:val="000000" w:themeColor="text1"/>
                <w:sz w:val="18"/>
                <w:szCs w:val="18"/>
              </w:rPr>
              <w:t>%</w:t>
            </w:r>
          </w:p>
        </w:tc>
        <w:tc>
          <w:tcPr>
            <w:tcW w:w="934" w:type="dxa"/>
          </w:tcPr>
          <w:p w14:paraId="7367498F" w14:textId="79ED2CBA" w:rsidR="000B1DF1" w:rsidRPr="00FB41A2" w:rsidRDefault="000B1DF1"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05D80">
              <w:rPr>
                <w:rFonts w:ascii="Arial" w:hAnsi="Arial" w:cs="Arial"/>
                <w:color w:val="000000" w:themeColor="text1"/>
                <w:sz w:val="18"/>
                <w:szCs w:val="18"/>
              </w:rPr>
              <w:t>+</w:t>
            </w:r>
            <w:r w:rsidR="00335BD6">
              <w:rPr>
                <w:rFonts w:ascii="Arial" w:hAnsi="Arial" w:cs="Arial"/>
                <w:color w:val="000000" w:themeColor="text1"/>
                <w:sz w:val="18"/>
                <w:szCs w:val="18"/>
              </w:rPr>
              <w:t>5.2</w:t>
            </w:r>
            <w:r w:rsidRPr="00505D80">
              <w:rPr>
                <w:rFonts w:ascii="Arial" w:hAnsi="Arial" w:cs="Arial"/>
                <w:color w:val="000000" w:themeColor="text1"/>
                <w:sz w:val="18"/>
                <w:szCs w:val="18"/>
              </w:rPr>
              <w:t>%</w:t>
            </w:r>
          </w:p>
        </w:tc>
        <w:tc>
          <w:tcPr>
            <w:tcW w:w="883" w:type="dxa"/>
          </w:tcPr>
          <w:p w14:paraId="5C7DEDD5" w14:textId="28E3E356" w:rsidR="000B1DF1" w:rsidRPr="00FB41A2" w:rsidRDefault="00305A8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0.6</w:t>
            </w:r>
            <w:r w:rsidR="00DA39C3">
              <w:rPr>
                <w:rFonts w:ascii="Arial" w:hAnsi="Arial" w:cs="Arial"/>
                <w:color w:val="000000" w:themeColor="text1"/>
                <w:sz w:val="18"/>
                <w:szCs w:val="18"/>
              </w:rPr>
              <w:t>%</w:t>
            </w:r>
          </w:p>
        </w:tc>
        <w:tc>
          <w:tcPr>
            <w:tcW w:w="883" w:type="dxa"/>
          </w:tcPr>
          <w:p w14:paraId="6619DA05" w14:textId="403A8633" w:rsidR="000B1DF1" w:rsidRPr="00FB41A2" w:rsidRDefault="00335BD6"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+0.2</w:t>
            </w:r>
            <w:r w:rsidR="000B1DF1" w:rsidRPr="00397B71">
              <w:rPr>
                <w:rFonts w:ascii="Arial" w:hAnsi="Arial" w:cs="Arial"/>
                <w:color w:val="000000" w:themeColor="text1"/>
                <w:sz w:val="18"/>
                <w:szCs w:val="18"/>
              </w:rPr>
              <w:t>%</w:t>
            </w:r>
          </w:p>
        </w:tc>
      </w:tr>
      <w:tr w:rsidR="000D6C1A" w14:paraId="7E0E0991" w14:textId="77777777" w:rsidTr="00F26A7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0D6C1A" w:rsidRPr="00FB41A2" w:rsidRDefault="000D6C1A" w:rsidP="000D6C1A">
            <w:pPr>
              <w:rPr>
                <w:rFonts w:ascii="Arial" w:eastAsia="Times New Roman" w:hAnsi="Arial" w:cs="Arial"/>
                <w:b w:val="0"/>
                <w:color w:val="000000" w:themeColor="text1"/>
                <w:sz w:val="18"/>
                <w:szCs w:val="18"/>
              </w:rPr>
            </w:pPr>
            <w:r w:rsidRPr="00FB41A2">
              <w:rPr>
                <w:rFonts w:ascii="Arial" w:hAnsi="Arial" w:cs="Arial"/>
                <w:b w:val="0"/>
                <w:color w:val="000000" w:themeColor="text1"/>
                <w:sz w:val="18"/>
                <w:szCs w:val="20"/>
              </w:rPr>
              <w:t>Fresh meat</w:t>
            </w:r>
          </w:p>
        </w:tc>
        <w:tc>
          <w:tcPr>
            <w:tcW w:w="882" w:type="dxa"/>
            <w:shd w:val="clear" w:color="auto" w:fill="D9D9D9" w:themeFill="background1" w:themeFillShade="D9"/>
          </w:tcPr>
          <w:p w14:paraId="19C0C757" w14:textId="38DA628C"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rPr>
            </w:pPr>
            <w:r w:rsidRPr="00FB41A2">
              <w:rPr>
                <w:rFonts w:ascii="Arial" w:eastAsia="Times New Roman" w:hAnsi="Arial" w:cs="Arial"/>
                <w:color w:val="000000" w:themeColor="text1"/>
                <w:sz w:val="18"/>
                <w:szCs w:val="18"/>
              </w:rPr>
              <w:t>$</w:t>
            </w:r>
            <w:r w:rsidR="00335BD6">
              <w:rPr>
                <w:rFonts w:ascii="Arial" w:eastAsia="Times New Roman" w:hAnsi="Arial" w:cs="Arial"/>
                <w:color w:val="000000" w:themeColor="text1"/>
                <w:sz w:val="18"/>
                <w:szCs w:val="18"/>
              </w:rPr>
              <w:t>6.9</w:t>
            </w:r>
            <w:r w:rsidRPr="00FB41A2">
              <w:rPr>
                <w:rFonts w:ascii="Arial" w:eastAsia="Times New Roman" w:hAnsi="Arial" w:cs="Arial"/>
                <w:color w:val="000000" w:themeColor="text1"/>
                <w:sz w:val="18"/>
                <w:szCs w:val="18"/>
              </w:rPr>
              <w:t>B</w:t>
            </w:r>
          </w:p>
        </w:tc>
        <w:tc>
          <w:tcPr>
            <w:tcW w:w="853" w:type="dxa"/>
            <w:shd w:val="clear" w:color="auto" w:fill="D9D9D9" w:themeFill="background1" w:themeFillShade="D9"/>
          </w:tcPr>
          <w:p w14:paraId="13AC25C1" w14:textId="278D7E0C"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5.2</w:t>
            </w:r>
            <w:r w:rsidRPr="0011390A">
              <w:rPr>
                <w:rFonts w:ascii="Arial" w:hAnsi="Arial" w:cs="Arial"/>
                <w:color w:val="000000" w:themeColor="text1"/>
                <w:sz w:val="18"/>
                <w:szCs w:val="18"/>
              </w:rPr>
              <w:t>%</w:t>
            </w:r>
          </w:p>
        </w:tc>
        <w:tc>
          <w:tcPr>
            <w:tcW w:w="913" w:type="dxa"/>
            <w:shd w:val="clear" w:color="auto" w:fill="D9D9D9" w:themeFill="background1" w:themeFillShade="D9"/>
          </w:tcPr>
          <w:p w14:paraId="4E312C16" w14:textId="0E9667A0"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A3DD9">
              <w:rPr>
                <w:rFonts w:ascii="Arial" w:hAnsi="Arial" w:cs="Arial"/>
                <w:color w:val="000000" w:themeColor="text1"/>
                <w:sz w:val="18"/>
                <w:szCs w:val="18"/>
              </w:rPr>
              <w:t>+</w:t>
            </w:r>
            <w:r w:rsidR="00335BD6">
              <w:rPr>
                <w:rFonts w:ascii="Arial" w:hAnsi="Arial" w:cs="Arial"/>
                <w:color w:val="000000" w:themeColor="text1"/>
                <w:sz w:val="18"/>
                <w:szCs w:val="18"/>
              </w:rPr>
              <w:t>6.4</w:t>
            </w:r>
            <w:r w:rsidRPr="007A3DD9">
              <w:rPr>
                <w:rFonts w:ascii="Arial" w:hAnsi="Arial" w:cs="Arial"/>
                <w:color w:val="000000" w:themeColor="text1"/>
                <w:sz w:val="18"/>
                <w:szCs w:val="18"/>
              </w:rPr>
              <w:t>%</w:t>
            </w:r>
          </w:p>
        </w:tc>
        <w:tc>
          <w:tcPr>
            <w:tcW w:w="883" w:type="dxa"/>
            <w:shd w:val="clear" w:color="auto" w:fill="D9D9D9" w:themeFill="background1" w:themeFillShade="D9"/>
          </w:tcPr>
          <w:p w14:paraId="4F753310" w14:textId="14107295"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A3DD9">
              <w:rPr>
                <w:rFonts w:ascii="Arial" w:hAnsi="Arial" w:cs="Arial"/>
                <w:color w:val="000000" w:themeColor="text1"/>
                <w:sz w:val="18"/>
                <w:szCs w:val="18"/>
              </w:rPr>
              <w:t>+</w:t>
            </w:r>
            <w:r w:rsidR="00335BD6">
              <w:rPr>
                <w:rFonts w:ascii="Arial" w:hAnsi="Arial" w:cs="Arial"/>
                <w:color w:val="000000" w:themeColor="text1"/>
                <w:sz w:val="18"/>
                <w:szCs w:val="18"/>
              </w:rPr>
              <w:t>1.5</w:t>
            </w:r>
            <w:r w:rsidRPr="007A3DD9">
              <w:rPr>
                <w:rFonts w:ascii="Arial" w:hAnsi="Arial" w:cs="Arial"/>
                <w:color w:val="000000" w:themeColor="text1"/>
                <w:sz w:val="18"/>
                <w:szCs w:val="18"/>
              </w:rPr>
              <w:t>%</w:t>
            </w:r>
          </w:p>
        </w:tc>
        <w:tc>
          <w:tcPr>
            <w:tcW w:w="882" w:type="dxa"/>
            <w:tcBorders>
              <w:right w:val="single" w:sz="4" w:space="0" w:color="1F497D" w:themeColor="text2"/>
            </w:tcBorders>
            <w:shd w:val="clear" w:color="auto" w:fill="D9D9D9" w:themeFill="background1" w:themeFillShade="D9"/>
          </w:tcPr>
          <w:p w14:paraId="5E34DC4E" w14:textId="1CA7552A" w:rsidR="000D6C1A" w:rsidRPr="00FB41A2" w:rsidRDefault="00305A8A" w:rsidP="000D6C1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2.5</w:t>
            </w:r>
            <w:r w:rsidR="000D6C1A" w:rsidRPr="00484845">
              <w:rPr>
                <w:rFonts w:ascii="Arial" w:hAnsi="Arial" w:cs="Arial"/>
                <w:color w:val="000000" w:themeColor="text1"/>
                <w:sz w:val="18"/>
                <w:szCs w:val="18"/>
              </w:rPr>
              <w:t>%</w:t>
            </w:r>
          </w:p>
        </w:tc>
        <w:tc>
          <w:tcPr>
            <w:tcW w:w="832" w:type="dxa"/>
            <w:tcBorders>
              <w:left w:val="single" w:sz="4" w:space="0" w:color="1F497D" w:themeColor="text2"/>
            </w:tcBorders>
            <w:shd w:val="clear" w:color="auto" w:fill="D9D9D9" w:themeFill="background1" w:themeFillShade="D9"/>
          </w:tcPr>
          <w:p w14:paraId="2CF480F7" w14:textId="50EF2ACC" w:rsidR="000D6C1A" w:rsidRPr="00FB41A2" w:rsidRDefault="000D6C1A" w:rsidP="000D6C1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A39C3">
              <w:rPr>
                <w:rFonts w:ascii="Arial" w:hAnsi="Arial" w:cs="Arial"/>
                <w:color w:val="000000" w:themeColor="text1"/>
                <w:sz w:val="18"/>
                <w:szCs w:val="18"/>
              </w:rPr>
              <w:t>3.</w:t>
            </w:r>
            <w:r w:rsidR="00335BD6">
              <w:rPr>
                <w:rFonts w:ascii="Arial" w:hAnsi="Arial" w:cs="Arial"/>
                <w:color w:val="000000" w:themeColor="text1"/>
                <w:sz w:val="18"/>
                <w:szCs w:val="18"/>
              </w:rPr>
              <w:t>8</w:t>
            </w:r>
            <w:r w:rsidRPr="00484845">
              <w:rPr>
                <w:rFonts w:ascii="Arial" w:hAnsi="Arial" w:cs="Arial"/>
                <w:color w:val="000000" w:themeColor="text1"/>
                <w:sz w:val="18"/>
                <w:szCs w:val="18"/>
              </w:rPr>
              <w:t>%</w:t>
            </w:r>
          </w:p>
        </w:tc>
        <w:tc>
          <w:tcPr>
            <w:tcW w:w="934" w:type="dxa"/>
            <w:shd w:val="clear" w:color="auto" w:fill="D9D9D9" w:themeFill="background1" w:themeFillShade="D9"/>
          </w:tcPr>
          <w:p w14:paraId="3B045B66" w14:textId="6FD48E07" w:rsidR="000D6C1A" w:rsidRPr="00FB41A2" w:rsidRDefault="000D6C1A" w:rsidP="000D6C1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05D80">
              <w:rPr>
                <w:rFonts w:ascii="Arial" w:hAnsi="Arial" w:cs="Arial"/>
                <w:color w:val="000000" w:themeColor="text1"/>
                <w:sz w:val="18"/>
                <w:szCs w:val="18"/>
              </w:rPr>
              <w:t>+</w:t>
            </w:r>
            <w:r w:rsidR="00335BD6">
              <w:rPr>
                <w:rFonts w:ascii="Arial" w:hAnsi="Arial" w:cs="Arial"/>
                <w:color w:val="000000" w:themeColor="text1"/>
                <w:sz w:val="18"/>
                <w:szCs w:val="18"/>
              </w:rPr>
              <w:t>6.9</w:t>
            </w:r>
            <w:r w:rsidRPr="00505D80">
              <w:rPr>
                <w:rFonts w:ascii="Arial" w:hAnsi="Arial" w:cs="Arial"/>
                <w:color w:val="000000" w:themeColor="text1"/>
                <w:sz w:val="18"/>
                <w:szCs w:val="18"/>
              </w:rPr>
              <w:t>%</w:t>
            </w:r>
          </w:p>
        </w:tc>
        <w:tc>
          <w:tcPr>
            <w:tcW w:w="883" w:type="dxa"/>
            <w:shd w:val="clear" w:color="auto" w:fill="D9D9D9" w:themeFill="background1" w:themeFillShade="D9"/>
          </w:tcPr>
          <w:p w14:paraId="31331F76" w14:textId="77CE8B68" w:rsidR="000D6C1A" w:rsidRPr="00FB41A2" w:rsidRDefault="00305A8A" w:rsidP="000D6C1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w:t>
            </w:r>
            <w:r w:rsidR="00DA39C3">
              <w:rPr>
                <w:rFonts w:ascii="Arial" w:hAnsi="Arial" w:cs="Arial"/>
                <w:color w:val="000000" w:themeColor="text1"/>
                <w:sz w:val="18"/>
                <w:szCs w:val="18"/>
              </w:rPr>
              <w:t>1.</w:t>
            </w:r>
            <w:r w:rsidR="00335BD6">
              <w:rPr>
                <w:rFonts w:ascii="Arial" w:hAnsi="Arial" w:cs="Arial"/>
                <w:color w:val="000000" w:themeColor="text1"/>
                <w:sz w:val="18"/>
                <w:szCs w:val="18"/>
              </w:rPr>
              <w:t>3</w:t>
            </w:r>
            <w:r w:rsidR="000D6C1A" w:rsidRPr="00397B71">
              <w:rPr>
                <w:rFonts w:ascii="Arial" w:hAnsi="Arial" w:cs="Arial"/>
                <w:color w:val="000000" w:themeColor="text1"/>
                <w:sz w:val="18"/>
                <w:szCs w:val="18"/>
              </w:rPr>
              <w:t>%</w:t>
            </w:r>
          </w:p>
        </w:tc>
        <w:tc>
          <w:tcPr>
            <w:tcW w:w="883" w:type="dxa"/>
            <w:shd w:val="clear" w:color="auto" w:fill="D9D9D9" w:themeFill="background1" w:themeFillShade="D9"/>
          </w:tcPr>
          <w:p w14:paraId="114ACFAE" w14:textId="5926ADCA" w:rsidR="000D6C1A" w:rsidRPr="00FB41A2" w:rsidRDefault="00305A8A" w:rsidP="000D6C1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1.7</w:t>
            </w:r>
            <w:r w:rsidR="000D6C1A" w:rsidRPr="00397B71">
              <w:rPr>
                <w:rFonts w:ascii="Arial" w:hAnsi="Arial" w:cs="Arial"/>
                <w:color w:val="000000" w:themeColor="text1"/>
                <w:sz w:val="18"/>
                <w:szCs w:val="18"/>
              </w:rPr>
              <w:t>%</w:t>
            </w:r>
          </w:p>
        </w:tc>
      </w:tr>
      <w:tr w:rsidR="000D6C1A" w14:paraId="5B87501B"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0D6C1A" w:rsidRPr="00FB41A2" w:rsidRDefault="000D6C1A" w:rsidP="000D6C1A">
            <w:pPr>
              <w:rPr>
                <w:rFonts w:ascii="Arial" w:eastAsia="Times New Roman" w:hAnsi="Arial" w:cs="Arial"/>
                <w:b w:val="0"/>
                <w:bCs w:val="0"/>
                <w:color w:val="000000" w:themeColor="text1"/>
                <w:sz w:val="18"/>
                <w:szCs w:val="18"/>
              </w:rPr>
            </w:pPr>
            <w:r w:rsidRPr="00FB41A2">
              <w:rPr>
                <w:rFonts w:ascii="Arial" w:hAnsi="Arial" w:cs="Arial"/>
                <w:b w:val="0"/>
                <w:color w:val="000000" w:themeColor="text1"/>
                <w:sz w:val="18"/>
                <w:szCs w:val="20"/>
              </w:rPr>
              <w:t>Processed meat</w:t>
            </w:r>
          </w:p>
        </w:tc>
        <w:tc>
          <w:tcPr>
            <w:tcW w:w="882" w:type="dxa"/>
          </w:tcPr>
          <w:p w14:paraId="2CC43909" w14:textId="4AB6FC9D" w:rsidR="000D6C1A" w:rsidRPr="00FB41A2" w:rsidRDefault="000D6C1A" w:rsidP="000D6C1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FB41A2">
              <w:rPr>
                <w:rFonts w:ascii="Arial" w:eastAsia="Times New Roman" w:hAnsi="Arial" w:cs="Arial"/>
                <w:color w:val="000000" w:themeColor="text1"/>
                <w:sz w:val="18"/>
                <w:szCs w:val="18"/>
              </w:rPr>
              <w:t>$</w:t>
            </w:r>
            <w:r w:rsidR="00335BD6">
              <w:rPr>
                <w:rFonts w:ascii="Arial" w:eastAsia="Times New Roman" w:hAnsi="Arial" w:cs="Arial"/>
                <w:color w:val="000000" w:themeColor="text1"/>
                <w:sz w:val="18"/>
                <w:szCs w:val="18"/>
              </w:rPr>
              <w:t>3.0</w:t>
            </w:r>
            <w:r w:rsidRPr="00FB41A2">
              <w:rPr>
                <w:rFonts w:ascii="Arial" w:eastAsia="Times New Roman" w:hAnsi="Arial" w:cs="Arial"/>
                <w:color w:val="000000" w:themeColor="text1"/>
                <w:sz w:val="18"/>
                <w:szCs w:val="18"/>
              </w:rPr>
              <w:t>B</w:t>
            </w:r>
          </w:p>
        </w:tc>
        <w:tc>
          <w:tcPr>
            <w:tcW w:w="853" w:type="dxa"/>
          </w:tcPr>
          <w:p w14:paraId="7ECCC6D6" w14:textId="68400BE9" w:rsidR="000D6C1A" w:rsidRPr="00335BD6" w:rsidRDefault="0074063A" w:rsidP="00335BD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0.6</w:t>
            </w:r>
            <w:r w:rsidR="000D6C1A" w:rsidRPr="0011390A">
              <w:rPr>
                <w:rFonts w:ascii="Arial" w:hAnsi="Arial" w:cs="Arial"/>
                <w:color w:val="000000" w:themeColor="text1"/>
                <w:sz w:val="18"/>
                <w:szCs w:val="18"/>
              </w:rPr>
              <w:t>%</w:t>
            </w:r>
          </w:p>
        </w:tc>
        <w:tc>
          <w:tcPr>
            <w:tcW w:w="913" w:type="dxa"/>
          </w:tcPr>
          <w:p w14:paraId="10F50545" w14:textId="458D6288" w:rsidR="000D6C1A" w:rsidRPr="00FB41A2" w:rsidRDefault="00DA39C3" w:rsidP="000D6C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2.9</w:t>
            </w:r>
            <w:r w:rsidR="000D6C1A" w:rsidRPr="007A3DD9">
              <w:rPr>
                <w:rFonts w:ascii="Arial" w:hAnsi="Arial" w:cs="Arial"/>
                <w:color w:val="000000" w:themeColor="text1"/>
                <w:sz w:val="18"/>
                <w:szCs w:val="18"/>
              </w:rPr>
              <w:t>%</w:t>
            </w:r>
          </w:p>
        </w:tc>
        <w:tc>
          <w:tcPr>
            <w:tcW w:w="883" w:type="dxa"/>
          </w:tcPr>
          <w:p w14:paraId="22D7CF8E" w14:textId="29EC949D" w:rsidR="000D6C1A" w:rsidRPr="00FB41A2" w:rsidRDefault="00DA39C3" w:rsidP="00305A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r w:rsidR="00335BD6">
              <w:rPr>
                <w:rFonts w:ascii="Arial" w:hAnsi="Arial" w:cs="Arial"/>
                <w:color w:val="000000" w:themeColor="text1"/>
                <w:sz w:val="18"/>
                <w:szCs w:val="18"/>
              </w:rPr>
              <w:t>.9</w:t>
            </w:r>
            <w:r w:rsidR="000D6C1A" w:rsidRPr="007A3DD9">
              <w:rPr>
                <w:rFonts w:ascii="Arial" w:hAnsi="Arial" w:cs="Arial"/>
                <w:color w:val="000000" w:themeColor="text1"/>
                <w:sz w:val="18"/>
                <w:szCs w:val="18"/>
              </w:rPr>
              <w:t>%</w:t>
            </w:r>
          </w:p>
        </w:tc>
        <w:tc>
          <w:tcPr>
            <w:tcW w:w="882" w:type="dxa"/>
            <w:tcBorders>
              <w:right w:val="single" w:sz="4" w:space="0" w:color="1F497D" w:themeColor="text2"/>
            </w:tcBorders>
          </w:tcPr>
          <w:p w14:paraId="4C4249DC" w14:textId="4A6C2BFB" w:rsidR="000D6C1A" w:rsidRPr="00FB41A2" w:rsidRDefault="00DA39C3" w:rsidP="00DA39C3">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2.9</w:t>
            </w:r>
            <w:r w:rsidR="000D6C1A" w:rsidRPr="00484845">
              <w:rPr>
                <w:rFonts w:ascii="Arial" w:hAnsi="Arial" w:cs="Arial"/>
                <w:color w:val="000000" w:themeColor="text1"/>
                <w:sz w:val="18"/>
                <w:szCs w:val="18"/>
              </w:rPr>
              <w:t>%</w:t>
            </w:r>
          </w:p>
        </w:tc>
        <w:tc>
          <w:tcPr>
            <w:tcW w:w="832" w:type="dxa"/>
            <w:tcBorders>
              <w:left w:val="single" w:sz="4" w:space="0" w:color="1F497D" w:themeColor="text2"/>
            </w:tcBorders>
          </w:tcPr>
          <w:p w14:paraId="26185D82" w14:textId="61E4DAF4" w:rsidR="000D6C1A" w:rsidRPr="00FB41A2" w:rsidRDefault="00305A8A" w:rsidP="000D6C1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w:t>
            </w:r>
            <w:r w:rsidR="00335BD6">
              <w:rPr>
                <w:rFonts w:ascii="Arial" w:hAnsi="Arial" w:cs="Arial"/>
                <w:color w:val="000000" w:themeColor="text1"/>
                <w:sz w:val="18"/>
                <w:szCs w:val="18"/>
              </w:rPr>
              <w:t>1</w:t>
            </w:r>
            <w:r w:rsidR="000D6C1A" w:rsidRPr="00484845">
              <w:rPr>
                <w:rFonts w:ascii="Arial" w:hAnsi="Arial" w:cs="Arial"/>
                <w:color w:val="000000" w:themeColor="text1"/>
                <w:sz w:val="18"/>
                <w:szCs w:val="18"/>
              </w:rPr>
              <w:t>%</w:t>
            </w:r>
          </w:p>
        </w:tc>
        <w:tc>
          <w:tcPr>
            <w:tcW w:w="934" w:type="dxa"/>
          </w:tcPr>
          <w:p w14:paraId="0FC7FCE0" w14:textId="554F6050" w:rsidR="000D6C1A" w:rsidRPr="00FB41A2" w:rsidRDefault="000D6C1A" w:rsidP="000D6C1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05D80">
              <w:rPr>
                <w:rFonts w:ascii="Arial" w:hAnsi="Arial" w:cs="Arial"/>
                <w:color w:val="000000" w:themeColor="text1"/>
                <w:sz w:val="18"/>
                <w:szCs w:val="18"/>
              </w:rPr>
              <w:t>+</w:t>
            </w:r>
            <w:r w:rsidR="00335BD6">
              <w:rPr>
                <w:rFonts w:ascii="Arial" w:hAnsi="Arial" w:cs="Arial"/>
                <w:color w:val="000000" w:themeColor="text1"/>
                <w:sz w:val="18"/>
                <w:szCs w:val="18"/>
              </w:rPr>
              <w:t>1.6</w:t>
            </w:r>
            <w:r w:rsidRPr="00505D80">
              <w:rPr>
                <w:rFonts w:ascii="Arial" w:hAnsi="Arial" w:cs="Arial"/>
                <w:color w:val="000000" w:themeColor="text1"/>
                <w:sz w:val="18"/>
                <w:szCs w:val="18"/>
              </w:rPr>
              <w:t>%</w:t>
            </w:r>
          </w:p>
        </w:tc>
        <w:tc>
          <w:tcPr>
            <w:tcW w:w="883" w:type="dxa"/>
          </w:tcPr>
          <w:p w14:paraId="063CDD25" w14:textId="75321CA7" w:rsidR="000D6C1A" w:rsidRPr="00FB41A2" w:rsidRDefault="000D6C1A" w:rsidP="000D6C1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1.0</w:t>
            </w:r>
            <w:r w:rsidRPr="00397B71">
              <w:rPr>
                <w:rFonts w:ascii="Arial" w:hAnsi="Arial" w:cs="Arial"/>
                <w:color w:val="000000" w:themeColor="text1"/>
                <w:sz w:val="18"/>
                <w:szCs w:val="18"/>
              </w:rPr>
              <w:t>%</w:t>
            </w:r>
          </w:p>
        </w:tc>
        <w:tc>
          <w:tcPr>
            <w:tcW w:w="883" w:type="dxa"/>
          </w:tcPr>
          <w:p w14:paraId="67FC77A8" w14:textId="0313285B" w:rsidR="000D6C1A" w:rsidRPr="00FB41A2" w:rsidRDefault="000D6C1A" w:rsidP="000D6C1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97B71">
              <w:rPr>
                <w:rFonts w:ascii="Arial" w:hAnsi="Arial" w:cs="Arial"/>
                <w:color w:val="000000" w:themeColor="text1"/>
                <w:sz w:val="18"/>
                <w:szCs w:val="18"/>
              </w:rPr>
              <w:t>-</w:t>
            </w:r>
            <w:r w:rsidR="00335BD6">
              <w:rPr>
                <w:rFonts w:ascii="Arial" w:hAnsi="Arial" w:cs="Arial"/>
                <w:color w:val="000000" w:themeColor="text1"/>
                <w:sz w:val="18"/>
                <w:szCs w:val="18"/>
              </w:rPr>
              <w:t>3.2</w:t>
            </w:r>
            <w:r w:rsidRPr="00397B71">
              <w:rPr>
                <w:rFonts w:ascii="Arial" w:hAnsi="Arial" w:cs="Arial"/>
                <w:color w:val="000000" w:themeColor="text1"/>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proofErr w:type="spellStart"/>
      <w:r w:rsidR="00FB48FE" w:rsidRPr="00FE184C">
        <w:rPr>
          <w:rFonts w:ascii="Arial" w:hAnsi="Arial" w:cs="Arial"/>
          <w:color w:val="7F7F7F" w:themeColor="text1" w:themeTint="80"/>
          <w:sz w:val="16"/>
          <w:szCs w:val="16"/>
        </w:rPr>
        <w:t>Circana</w:t>
      </w:r>
      <w:proofErr w:type="spellEnd"/>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262468AC" w14:textId="77777777" w:rsidR="00FB3E79" w:rsidRDefault="00FB3E79" w:rsidP="00F220D0">
      <w:pPr>
        <w:pStyle w:val="NoSpacing"/>
        <w:rPr>
          <w:rFonts w:ascii="Arial" w:hAnsi="Arial" w:cs="Arial"/>
          <w:color w:val="7F7F7F" w:themeColor="text1" w:themeTint="80"/>
          <w:sz w:val="16"/>
          <w:szCs w:val="16"/>
        </w:rPr>
      </w:pPr>
    </w:p>
    <w:p w14:paraId="1BE6705E" w14:textId="77777777" w:rsidR="00FB3E79" w:rsidRPr="00FE184C" w:rsidRDefault="00FB3E79" w:rsidP="00F220D0">
      <w:pPr>
        <w:pStyle w:val="NoSpacing"/>
        <w:rPr>
          <w:rFonts w:ascii="Arial" w:hAnsi="Arial" w:cs="Arial"/>
          <w:color w:val="7F7F7F" w:themeColor="text1" w:themeTint="80"/>
          <w:sz w:val="16"/>
          <w:szCs w:val="16"/>
        </w:rPr>
      </w:pPr>
    </w:p>
    <w:p w14:paraId="4EF098F2" w14:textId="77777777" w:rsidR="004179FC" w:rsidRDefault="004179FC" w:rsidP="002D593A">
      <w:pPr>
        <w:pStyle w:val="NoSpacing"/>
        <w:rPr>
          <w:rFonts w:ascii="Arial" w:hAnsi="Arial" w:cs="Arial"/>
          <w:sz w:val="20"/>
          <w:szCs w:val="20"/>
        </w:rPr>
      </w:pPr>
    </w:p>
    <w:tbl>
      <w:tblPr>
        <w:tblStyle w:val="ListTable4-Accent1"/>
        <w:tblpPr w:leftFromText="180" w:rightFromText="180" w:vertAnchor="text" w:tblpY="1"/>
        <w:tblW w:w="46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40"/>
        <w:gridCol w:w="1008"/>
        <w:gridCol w:w="1008"/>
        <w:gridCol w:w="1152"/>
      </w:tblGrid>
      <w:tr w:rsidR="009E62E9" w:rsidRPr="00BB6906" w14:paraId="2E78233D" w14:textId="77777777" w:rsidTr="00335BD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shd w:val="clear" w:color="auto" w:fill="17365D" w:themeFill="text2" w:themeFillShade="BF"/>
          </w:tcPr>
          <w:p w14:paraId="7326F656" w14:textId="5247E29E" w:rsidR="009E62E9" w:rsidRPr="00BB6906" w:rsidRDefault="009E62E9" w:rsidP="00335BD6">
            <w:pPr>
              <w:pStyle w:val="NoSpacing"/>
              <w:rPr>
                <w:rFonts w:ascii="Arial" w:hAnsi="Arial" w:cs="Arial"/>
                <w:sz w:val="18"/>
                <w:szCs w:val="18"/>
              </w:rPr>
            </w:pPr>
          </w:p>
        </w:tc>
        <w:tc>
          <w:tcPr>
            <w:tcW w:w="1008" w:type="dxa"/>
            <w:tcBorders>
              <w:top w:val="none" w:sz="0" w:space="0" w:color="auto"/>
              <w:bottom w:val="none" w:sz="0" w:space="0" w:color="auto"/>
            </w:tcBorders>
            <w:shd w:val="clear" w:color="auto" w:fill="17365D" w:themeFill="text2" w:themeFillShade="BF"/>
          </w:tcPr>
          <w:p w14:paraId="6C680ACA" w14:textId="36D109B8" w:rsidR="009E62E9" w:rsidRDefault="009E62E9" w:rsidP="00335BD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08" w:type="dxa"/>
            <w:tcBorders>
              <w:top w:val="none" w:sz="0" w:space="0" w:color="auto"/>
              <w:bottom w:val="none" w:sz="0" w:space="0" w:color="auto"/>
            </w:tcBorders>
            <w:shd w:val="clear" w:color="auto" w:fill="17365D" w:themeFill="text2" w:themeFillShade="BF"/>
          </w:tcPr>
          <w:p w14:paraId="38C524AC" w14:textId="63AD0C00" w:rsidR="009E62E9" w:rsidRPr="00BB6906" w:rsidRDefault="009E62E9" w:rsidP="00335BD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152" w:type="dxa"/>
            <w:tcBorders>
              <w:top w:val="none" w:sz="0" w:space="0" w:color="auto"/>
              <w:bottom w:val="none" w:sz="0" w:space="0" w:color="auto"/>
              <w:right w:val="none" w:sz="0" w:space="0" w:color="auto"/>
            </w:tcBorders>
            <w:shd w:val="clear" w:color="auto" w:fill="17365D" w:themeFill="text2" w:themeFillShade="BF"/>
          </w:tcPr>
          <w:p w14:paraId="7E1CB5D2" w14:textId="0135D41C" w:rsidR="009E62E9" w:rsidRPr="00BB6906" w:rsidRDefault="009E62E9" w:rsidP="00335BD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7906D7" w:rsidRPr="00FB41A2" w14:paraId="5F546E24" w14:textId="77777777" w:rsidTr="00335B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EC066B9" w14:textId="7778043F" w:rsidR="007906D7" w:rsidRDefault="00335BD6" w:rsidP="00335BD6">
            <w:pPr>
              <w:pStyle w:val="NoSpacing"/>
              <w:rPr>
                <w:rFonts w:ascii="Arial" w:hAnsi="Arial" w:cs="Arial"/>
                <w:color w:val="000000"/>
                <w:sz w:val="18"/>
                <w:szCs w:val="18"/>
              </w:rPr>
            </w:pPr>
            <w:r>
              <w:rPr>
                <w:rFonts w:ascii="Arial" w:hAnsi="Arial" w:cs="Arial"/>
                <w:color w:val="000000"/>
                <w:sz w:val="18"/>
                <w:szCs w:val="18"/>
              </w:rPr>
              <w:t>May</w:t>
            </w:r>
            <w:r w:rsidR="007906D7">
              <w:rPr>
                <w:rFonts w:ascii="Arial" w:hAnsi="Arial" w:cs="Arial"/>
                <w:color w:val="000000"/>
                <w:sz w:val="18"/>
                <w:szCs w:val="18"/>
              </w:rPr>
              <w:t xml:space="preserve"> 2024</w:t>
            </w:r>
          </w:p>
        </w:tc>
        <w:tc>
          <w:tcPr>
            <w:tcW w:w="1008" w:type="dxa"/>
          </w:tcPr>
          <w:p w14:paraId="56318E50" w14:textId="31A4CA74" w:rsidR="007906D7" w:rsidRPr="007906D7" w:rsidRDefault="007906D7"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7906D7">
              <w:rPr>
                <w:rFonts w:ascii="Arial" w:hAnsi="Arial" w:cs="Arial"/>
                <w:b/>
                <w:bCs/>
                <w:color w:val="000000" w:themeColor="text1"/>
                <w:sz w:val="18"/>
                <w:szCs w:val="18"/>
              </w:rPr>
              <w:t>$</w:t>
            </w:r>
            <w:r w:rsidR="00335BD6">
              <w:rPr>
                <w:rFonts w:ascii="Arial" w:hAnsi="Arial" w:cs="Arial"/>
                <w:b/>
                <w:bCs/>
                <w:color w:val="000000" w:themeColor="text1"/>
                <w:sz w:val="18"/>
                <w:szCs w:val="18"/>
              </w:rPr>
              <w:t>9.9</w:t>
            </w:r>
            <w:r w:rsidRPr="007906D7">
              <w:rPr>
                <w:rFonts w:ascii="Arial" w:hAnsi="Arial" w:cs="Arial"/>
                <w:b/>
                <w:bCs/>
                <w:color w:val="000000" w:themeColor="text1"/>
                <w:sz w:val="18"/>
                <w:szCs w:val="18"/>
              </w:rPr>
              <w:t>B</w:t>
            </w:r>
          </w:p>
        </w:tc>
        <w:tc>
          <w:tcPr>
            <w:tcW w:w="1008" w:type="dxa"/>
          </w:tcPr>
          <w:p w14:paraId="462D7B5D" w14:textId="6ED83625" w:rsidR="007906D7" w:rsidRPr="007906D7" w:rsidRDefault="007906D7"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7906D7">
              <w:rPr>
                <w:rFonts w:ascii="Arial" w:hAnsi="Arial" w:cs="Arial"/>
                <w:b/>
                <w:bCs/>
                <w:color w:val="000000" w:themeColor="text1"/>
                <w:sz w:val="18"/>
                <w:szCs w:val="18"/>
              </w:rPr>
              <w:t>+</w:t>
            </w:r>
            <w:r w:rsidR="00335BD6">
              <w:rPr>
                <w:rFonts w:ascii="Arial" w:hAnsi="Arial" w:cs="Arial"/>
                <w:b/>
                <w:bCs/>
                <w:color w:val="000000" w:themeColor="text1"/>
                <w:sz w:val="18"/>
                <w:szCs w:val="18"/>
              </w:rPr>
              <w:t>3.3</w:t>
            </w:r>
            <w:r w:rsidRPr="007906D7">
              <w:rPr>
                <w:rFonts w:ascii="Arial" w:hAnsi="Arial" w:cs="Arial"/>
                <w:b/>
                <w:bCs/>
                <w:color w:val="000000" w:themeColor="text1"/>
                <w:sz w:val="18"/>
                <w:szCs w:val="18"/>
              </w:rPr>
              <w:t>%</w:t>
            </w:r>
          </w:p>
        </w:tc>
        <w:tc>
          <w:tcPr>
            <w:tcW w:w="1152" w:type="dxa"/>
          </w:tcPr>
          <w:p w14:paraId="59E272A1" w14:textId="2A8A393B" w:rsidR="007906D7" w:rsidRPr="007906D7" w:rsidRDefault="00335BD6"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+0.5</w:t>
            </w:r>
            <w:r w:rsidR="007906D7" w:rsidRPr="007906D7">
              <w:rPr>
                <w:rFonts w:ascii="Arial" w:hAnsi="Arial" w:cs="Arial"/>
                <w:b/>
                <w:bCs/>
                <w:color w:val="000000" w:themeColor="text1"/>
                <w:sz w:val="18"/>
                <w:szCs w:val="18"/>
              </w:rPr>
              <w:t>%</w:t>
            </w:r>
          </w:p>
        </w:tc>
      </w:tr>
      <w:tr w:rsidR="009E62E9" w:rsidRPr="00FB41A2" w14:paraId="045BB462" w14:textId="77777777" w:rsidTr="00335BD6">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51ECAF01" w14:textId="3C6F74B4" w:rsidR="009E62E9" w:rsidRPr="00096DC9" w:rsidRDefault="000D6C1A" w:rsidP="00335BD6">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0</w:t>
            </w:r>
            <w:r w:rsidR="00335BD6">
              <w:rPr>
                <w:rFonts w:ascii="Arial" w:hAnsi="Arial" w:cs="Arial"/>
                <w:b w:val="0"/>
                <w:bCs w:val="0"/>
                <w:color w:val="000000"/>
                <w:sz w:val="18"/>
                <w:szCs w:val="18"/>
              </w:rPr>
              <w:t>5</w:t>
            </w:r>
            <w:r>
              <w:rPr>
                <w:rFonts w:ascii="Arial" w:hAnsi="Arial" w:cs="Arial"/>
                <w:b w:val="0"/>
                <w:bCs w:val="0"/>
                <w:color w:val="000000"/>
                <w:sz w:val="18"/>
                <w:szCs w:val="18"/>
              </w:rPr>
              <w:t>-0</w:t>
            </w:r>
            <w:r w:rsidR="00335BD6">
              <w:rPr>
                <w:rFonts w:ascii="Arial" w:hAnsi="Arial" w:cs="Arial"/>
                <w:b w:val="0"/>
                <w:bCs w:val="0"/>
                <w:color w:val="000000"/>
                <w:sz w:val="18"/>
                <w:szCs w:val="18"/>
              </w:rPr>
              <w:t>5</w:t>
            </w:r>
            <w:r w:rsidR="009E62E9">
              <w:rPr>
                <w:rFonts w:ascii="Arial" w:hAnsi="Arial" w:cs="Arial"/>
                <w:b w:val="0"/>
                <w:bCs w:val="0"/>
                <w:color w:val="000000"/>
                <w:sz w:val="18"/>
                <w:szCs w:val="18"/>
              </w:rPr>
              <w:t>-24</w:t>
            </w:r>
          </w:p>
        </w:tc>
        <w:tc>
          <w:tcPr>
            <w:tcW w:w="1008" w:type="dxa"/>
          </w:tcPr>
          <w:p w14:paraId="487BDF34" w14:textId="0171A83D" w:rsidR="009E62E9" w:rsidRDefault="000B1DF1"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1.952</w:t>
            </w:r>
            <w:r w:rsidR="009E62E9">
              <w:rPr>
                <w:rFonts w:ascii="Arial" w:hAnsi="Arial" w:cs="Arial"/>
                <w:color w:val="000000" w:themeColor="text1"/>
                <w:sz w:val="18"/>
                <w:szCs w:val="18"/>
              </w:rPr>
              <w:t>B</w:t>
            </w:r>
          </w:p>
        </w:tc>
        <w:tc>
          <w:tcPr>
            <w:tcW w:w="1008" w:type="dxa"/>
          </w:tcPr>
          <w:p w14:paraId="00029D06" w14:textId="62ACC977" w:rsidR="009E62E9" w:rsidRPr="00FB41A2" w:rsidRDefault="00557BCD"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+3.5</w:t>
            </w:r>
            <w:r w:rsidR="009E62E9">
              <w:rPr>
                <w:rFonts w:ascii="Arial" w:hAnsi="Arial" w:cs="Arial"/>
                <w:color w:val="000000" w:themeColor="text1"/>
                <w:sz w:val="18"/>
                <w:szCs w:val="18"/>
              </w:rPr>
              <w:t>%</w:t>
            </w:r>
          </w:p>
        </w:tc>
        <w:tc>
          <w:tcPr>
            <w:tcW w:w="1152" w:type="dxa"/>
          </w:tcPr>
          <w:p w14:paraId="7F4E929E" w14:textId="57E5606C" w:rsidR="009E62E9" w:rsidRPr="00FB41A2" w:rsidRDefault="00557BCD"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r w:rsidR="009E62E9">
              <w:rPr>
                <w:rFonts w:ascii="Arial" w:hAnsi="Arial" w:cs="Arial"/>
                <w:color w:val="000000" w:themeColor="text1"/>
                <w:sz w:val="18"/>
                <w:szCs w:val="18"/>
              </w:rPr>
              <w:t>%</w:t>
            </w:r>
          </w:p>
        </w:tc>
      </w:tr>
      <w:tr w:rsidR="009E62E9" w:rsidRPr="00FB41A2" w14:paraId="0EC2425A" w14:textId="77777777" w:rsidTr="00335B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D23D41D" w14:textId="36B1FA68" w:rsidR="009E62E9" w:rsidRPr="00096DC9" w:rsidRDefault="000D6C1A" w:rsidP="00335BD6">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0</w:t>
            </w:r>
            <w:r w:rsidR="00335BD6">
              <w:rPr>
                <w:rFonts w:ascii="Arial" w:hAnsi="Arial" w:cs="Arial"/>
                <w:b w:val="0"/>
                <w:bCs w:val="0"/>
                <w:color w:val="000000"/>
                <w:sz w:val="18"/>
                <w:szCs w:val="18"/>
              </w:rPr>
              <w:t>5</w:t>
            </w:r>
            <w:r>
              <w:rPr>
                <w:rFonts w:ascii="Arial" w:hAnsi="Arial" w:cs="Arial"/>
                <w:b w:val="0"/>
                <w:bCs w:val="0"/>
                <w:color w:val="000000"/>
                <w:sz w:val="18"/>
                <w:szCs w:val="18"/>
              </w:rPr>
              <w:t>-1</w:t>
            </w:r>
            <w:r w:rsidR="00335BD6">
              <w:rPr>
                <w:rFonts w:ascii="Arial" w:hAnsi="Arial" w:cs="Arial"/>
                <w:b w:val="0"/>
                <w:bCs w:val="0"/>
                <w:color w:val="000000"/>
                <w:sz w:val="18"/>
                <w:szCs w:val="18"/>
              </w:rPr>
              <w:t>2</w:t>
            </w:r>
            <w:r w:rsidR="009E62E9">
              <w:rPr>
                <w:rFonts w:ascii="Arial" w:hAnsi="Arial" w:cs="Arial"/>
                <w:b w:val="0"/>
                <w:bCs w:val="0"/>
                <w:color w:val="000000"/>
                <w:sz w:val="18"/>
                <w:szCs w:val="18"/>
              </w:rPr>
              <w:t>-24</w:t>
            </w:r>
          </w:p>
        </w:tc>
        <w:tc>
          <w:tcPr>
            <w:tcW w:w="1008" w:type="dxa"/>
          </w:tcPr>
          <w:p w14:paraId="3F5B88D0" w14:textId="08AE00A1" w:rsidR="009E62E9" w:rsidRDefault="000B1DF1"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5BD6">
              <w:rPr>
                <w:rFonts w:ascii="Arial" w:hAnsi="Arial" w:cs="Arial"/>
                <w:color w:val="000000" w:themeColor="text1"/>
                <w:sz w:val="18"/>
                <w:szCs w:val="18"/>
              </w:rPr>
              <w:t>2.021</w:t>
            </w:r>
            <w:r w:rsidR="009E62E9">
              <w:rPr>
                <w:rFonts w:ascii="Arial" w:hAnsi="Arial" w:cs="Arial"/>
                <w:color w:val="000000" w:themeColor="text1"/>
                <w:sz w:val="18"/>
                <w:szCs w:val="18"/>
              </w:rPr>
              <w:t>B</w:t>
            </w:r>
          </w:p>
        </w:tc>
        <w:tc>
          <w:tcPr>
            <w:tcW w:w="1008" w:type="dxa"/>
          </w:tcPr>
          <w:p w14:paraId="728D456F" w14:textId="2E44D03C" w:rsidR="009E62E9" w:rsidRPr="00FB41A2" w:rsidRDefault="000B1DF1"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3.8</w:t>
            </w:r>
            <w:r w:rsidR="009E62E9">
              <w:rPr>
                <w:rFonts w:ascii="Arial" w:hAnsi="Arial" w:cs="Arial"/>
                <w:color w:val="000000" w:themeColor="text1"/>
                <w:sz w:val="18"/>
                <w:szCs w:val="18"/>
              </w:rPr>
              <w:t>%</w:t>
            </w:r>
          </w:p>
        </w:tc>
        <w:tc>
          <w:tcPr>
            <w:tcW w:w="1152" w:type="dxa"/>
          </w:tcPr>
          <w:p w14:paraId="30AD988E" w14:textId="78DD024F" w:rsidR="009E62E9" w:rsidRPr="00FB41A2" w:rsidRDefault="000B1DF1"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1.2</w:t>
            </w:r>
            <w:r w:rsidR="009E62E9">
              <w:rPr>
                <w:rFonts w:ascii="Arial" w:hAnsi="Arial" w:cs="Arial"/>
                <w:color w:val="000000" w:themeColor="text1"/>
                <w:sz w:val="18"/>
                <w:szCs w:val="18"/>
              </w:rPr>
              <w:t>%</w:t>
            </w:r>
          </w:p>
        </w:tc>
      </w:tr>
      <w:tr w:rsidR="00335BD6" w:rsidRPr="00FB41A2" w14:paraId="01970E0A" w14:textId="77777777" w:rsidTr="00335BD6">
        <w:trPr>
          <w:trHeight w:val="288"/>
        </w:trPr>
        <w:tc>
          <w:tcPr>
            <w:cnfStyle w:val="001000000000" w:firstRow="0" w:lastRow="0" w:firstColumn="1" w:lastColumn="0" w:oddVBand="0" w:evenVBand="0" w:oddHBand="0" w:evenHBand="0" w:firstRowFirstColumn="0" w:firstRowLastColumn="0" w:lastRowFirstColumn="0" w:lastRowLastColumn="0"/>
            <w:tcW w:w="1440" w:type="dxa"/>
          </w:tcPr>
          <w:p w14:paraId="4D78241A" w14:textId="1094903A" w:rsidR="00335BD6" w:rsidRPr="00096DC9" w:rsidRDefault="00335BD6" w:rsidP="00335BD6">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05-19-24</w:t>
            </w:r>
          </w:p>
        </w:tc>
        <w:tc>
          <w:tcPr>
            <w:tcW w:w="1008" w:type="dxa"/>
          </w:tcPr>
          <w:p w14:paraId="4DF29085" w14:textId="63910A5D" w:rsidR="00335BD6" w:rsidRDefault="00335BD6"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$1.913B</w:t>
            </w:r>
          </w:p>
        </w:tc>
        <w:tc>
          <w:tcPr>
            <w:tcW w:w="1008" w:type="dxa"/>
          </w:tcPr>
          <w:p w14:paraId="150DD622" w14:textId="40A689E5" w:rsidR="00335BD6" w:rsidRPr="00FB41A2" w:rsidRDefault="00335BD6"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4.2</w:t>
            </w:r>
            <w:r>
              <w:rPr>
                <w:rFonts w:ascii="Arial" w:hAnsi="Arial" w:cs="Arial"/>
                <w:color w:val="000000" w:themeColor="text1"/>
                <w:sz w:val="18"/>
                <w:szCs w:val="18"/>
              </w:rPr>
              <w:t>%</w:t>
            </w:r>
          </w:p>
        </w:tc>
        <w:tc>
          <w:tcPr>
            <w:tcW w:w="1152" w:type="dxa"/>
          </w:tcPr>
          <w:p w14:paraId="4EDCA447" w14:textId="4D2C00A4" w:rsidR="00335BD6" w:rsidRPr="00FB41A2" w:rsidRDefault="00335BD6"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1.4</w:t>
            </w:r>
            <w:r>
              <w:rPr>
                <w:rFonts w:ascii="Arial" w:hAnsi="Arial" w:cs="Arial"/>
                <w:color w:val="000000" w:themeColor="text1"/>
                <w:sz w:val="18"/>
                <w:szCs w:val="18"/>
              </w:rPr>
              <w:t>%</w:t>
            </w:r>
          </w:p>
        </w:tc>
      </w:tr>
      <w:tr w:rsidR="00335BD6" w:rsidRPr="00FB41A2" w14:paraId="2D92BC5B" w14:textId="77777777" w:rsidTr="00335B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tcPr>
          <w:p w14:paraId="1B024BBC" w14:textId="7D4F1280" w:rsidR="00335BD6" w:rsidRPr="00096DC9" w:rsidRDefault="00335BD6" w:rsidP="00335BD6">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0</w:t>
            </w:r>
            <w:r w:rsidR="00557BCD">
              <w:rPr>
                <w:rFonts w:ascii="Arial" w:hAnsi="Arial" w:cs="Arial"/>
                <w:b w:val="0"/>
                <w:bCs w:val="0"/>
                <w:color w:val="000000"/>
                <w:sz w:val="18"/>
                <w:szCs w:val="18"/>
              </w:rPr>
              <w:t>5</w:t>
            </w:r>
            <w:r>
              <w:rPr>
                <w:rFonts w:ascii="Arial" w:hAnsi="Arial" w:cs="Arial"/>
                <w:b w:val="0"/>
                <w:bCs w:val="0"/>
                <w:color w:val="000000"/>
                <w:sz w:val="18"/>
                <w:szCs w:val="18"/>
              </w:rPr>
              <w:t>-2</w:t>
            </w:r>
            <w:r w:rsidR="00557BCD">
              <w:rPr>
                <w:rFonts w:ascii="Arial" w:hAnsi="Arial" w:cs="Arial"/>
                <w:b w:val="0"/>
                <w:bCs w:val="0"/>
                <w:color w:val="000000"/>
                <w:sz w:val="18"/>
                <w:szCs w:val="18"/>
              </w:rPr>
              <w:t>6</w:t>
            </w:r>
            <w:r>
              <w:rPr>
                <w:rFonts w:ascii="Arial" w:hAnsi="Arial" w:cs="Arial"/>
                <w:b w:val="0"/>
                <w:bCs w:val="0"/>
                <w:color w:val="000000"/>
                <w:sz w:val="18"/>
                <w:szCs w:val="18"/>
              </w:rPr>
              <w:t>-24</w:t>
            </w:r>
          </w:p>
        </w:tc>
        <w:tc>
          <w:tcPr>
            <w:tcW w:w="1008" w:type="dxa"/>
          </w:tcPr>
          <w:p w14:paraId="0BA8059F" w14:textId="2D7DFB1F" w:rsidR="00335BD6" w:rsidRDefault="00335BD6"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$2.13</w:t>
            </w:r>
            <w:r w:rsidR="00557BCD">
              <w:rPr>
                <w:rFonts w:ascii="Arial" w:hAnsi="Arial" w:cs="Arial"/>
                <w:color w:val="000000" w:themeColor="text1"/>
                <w:sz w:val="18"/>
                <w:szCs w:val="18"/>
              </w:rPr>
              <w:t>5</w:t>
            </w:r>
            <w:r>
              <w:rPr>
                <w:rFonts w:ascii="Arial" w:hAnsi="Arial" w:cs="Arial"/>
                <w:color w:val="000000" w:themeColor="text1"/>
                <w:sz w:val="18"/>
                <w:szCs w:val="18"/>
              </w:rPr>
              <w:t>B</w:t>
            </w:r>
          </w:p>
        </w:tc>
        <w:tc>
          <w:tcPr>
            <w:tcW w:w="1008" w:type="dxa"/>
          </w:tcPr>
          <w:p w14:paraId="42202452" w14:textId="28F8C155" w:rsidR="00335BD6" w:rsidRPr="00FB41A2" w:rsidRDefault="00335BD6"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4.4</w:t>
            </w:r>
            <w:r>
              <w:rPr>
                <w:rFonts w:ascii="Arial" w:hAnsi="Arial" w:cs="Arial"/>
                <w:color w:val="000000" w:themeColor="text1"/>
                <w:sz w:val="18"/>
                <w:szCs w:val="18"/>
              </w:rPr>
              <w:t>%</w:t>
            </w:r>
          </w:p>
        </w:tc>
        <w:tc>
          <w:tcPr>
            <w:tcW w:w="1152" w:type="dxa"/>
          </w:tcPr>
          <w:p w14:paraId="661E2588" w14:textId="304B7984" w:rsidR="00335BD6" w:rsidRPr="00FB41A2" w:rsidRDefault="00335BD6" w:rsidP="00557B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57BCD">
              <w:rPr>
                <w:rFonts w:ascii="Arial" w:hAnsi="Arial" w:cs="Arial"/>
                <w:color w:val="000000" w:themeColor="text1"/>
                <w:sz w:val="18"/>
                <w:szCs w:val="18"/>
              </w:rPr>
              <w:t>1.5</w:t>
            </w:r>
            <w:r>
              <w:rPr>
                <w:rFonts w:ascii="Arial" w:hAnsi="Arial" w:cs="Arial"/>
                <w:color w:val="000000" w:themeColor="text1"/>
                <w:sz w:val="18"/>
                <w:szCs w:val="18"/>
              </w:rPr>
              <w:t>%</w:t>
            </w:r>
          </w:p>
        </w:tc>
      </w:tr>
      <w:tr w:rsidR="00557BCD" w:rsidRPr="00FB41A2" w14:paraId="16D8C518" w14:textId="77777777" w:rsidTr="00335BD6">
        <w:trPr>
          <w:trHeight w:val="20"/>
        </w:trPr>
        <w:tc>
          <w:tcPr>
            <w:cnfStyle w:val="001000000000" w:firstRow="0" w:lastRow="0" w:firstColumn="1" w:lastColumn="0" w:oddVBand="0" w:evenVBand="0" w:oddHBand="0" w:evenHBand="0" w:firstRowFirstColumn="0" w:firstRowLastColumn="0" w:lastRowFirstColumn="0" w:lastRowLastColumn="0"/>
            <w:tcW w:w="1440" w:type="dxa"/>
          </w:tcPr>
          <w:p w14:paraId="197D415B" w14:textId="2ED05CF9" w:rsidR="00557BCD" w:rsidRPr="00557BCD" w:rsidRDefault="00557BCD" w:rsidP="00557BCD">
            <w:pPr>
              <w:pStyle w:val="NoSpacing"/>
              <w:rPr>
                <w:rFonts w:ascii="Arial" w:hAnsi="Arial" w:cs="Arial"/>
                <w:b w:val="0"/>
                <w:bCs w:val="0"/>
                <w:color w:val="000000"/>
                <w:sz w:val="18"/>
                <w:szCs w:val="18"/>
              </w:rPr>
            </w:pPr>
            <w:r w:rsidRPr="00557BCD">
              <w:rPr>
                <w:rFonts w:ascii="Arial" w:hAnsi="Arial" w:cs="Arial"/>
                <w:b w:val="0"/>
                <w:bCs w:val="0"/>
                <w:color w:val="000000"/>
                <w:sz w:val="18"/>
                <w:szCs w:val="18"/>
              </w:rPr>
              <w:t>W.E. 06-02-24</w:t>
            </w:r>
          </w:p>
        </w:tc>
        <w:tc>
          <w:tcPr>
            <w:tcW w:w="1008" w:type="dxa"/>
          </w:tcPr>
          <w:p w14:paraId="75410B35" w14:textId="384BFDB9" w:rsidR="00557BCD" w:rsidRPr="00557BCD" w:rsidRDefault="00557BCD"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$1.922B</w:t>
            </w:r>
          </w:p>
        </w:tc>
        <w:tc>
          <w:tcPr>
            <w:tcW w:w="1008" w:type="dxa"/>
          </w:tcPr>
          <w:p w14:paraId="5B57F793" w14:textId="3163EA3C" w:rsidR="00557BCD" w:rsidRPr="00557BCD" w:rsidRDefault="00557BCD"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p>
        </w:tc>
        <w:tc>
          <w:tcPr>
            <w:tcW w:w="1152" w:type="dxa"/>
          </w:tcPr>
          <w:p w14:paraId="58C19E0A" w14:textId="20506C30" w:rsidR="00557BCD" w:rsidRPr="00557BCD" w:rsidRDefault="00557BCD" w:rsidP="00557B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w:t>
            </w:r>
          </w:p>
        </w:tc>
      </w:tr>
    </w:tbl>
    <w:p w14:paraId="70CC0402" w14:textId="5B7AEE60" w:rsidR="00A27621" w:rsidRDefault="00557BCD" w:rsidP="002D593A">
      <w:pPr>
        <w:pStyle w:val="NoSpacing"/>
        <w:rPr>
          <w:rFonts w:ascii="Arial" w:hAnsi="Arial" w:cs="Arial"/>
          <w:sz w:val="20"/>
          <w:szCs w:val="20"/>
        </w:rPr>
      </w:pPr>
      <w:r>
        <w:rPr>
          <w:rFonts w:ascii="Arial" w:hAnsi="Arial" w:cs="Arial"/>
          <w:sz w:val="20"/>
          <w:szCs w:val="20"/>
        </w:rPr>
        <w:t>Four out of the five May weeks experienced volume growth in comparison to year-ago levels. The final week ending June 2</w:t>
      </w:r>
      <w:r w:rsidRPr="00557BCD">
        <w:rPr>
          <w:rFonts w:ascii="Arial" w:hAnsi="Arial" w:cs="Arial"/>
          <w:sz w:val="20"/>
          <w:szCs w:val="20"/>
          <w:vertAlign w:val="superscript"/>
        </w:rPr>
        <w:t>nd</w:t>
      </w:r>
      <w:r>
        <w:rPr>
          <w:rFonts w:ascii="Arial" w:hAnsi="Arial" w:cs="Arial"/>
          <w:sz w:val="20"/>
          <w:szCs w:val="20"/>
        </w:rPr>
        <w:t xml:space="preserve"> pulled down</w:t>
      </w:r>
      <w:r w:rsidR="00FB3E79">
        <w:rPr>
          <w:rFonts w:ascii="Arial" w:hAnsi="Arial" w:cs="Arial"/>
          <w:sz w:val="20"/>
          <w:szCs w:val="20"/>
        </w:rPr>
        <w:t xml:space="preserve"> the positive momentum to result in the 0.5% increase for the entire month of May. </w:t>
      </w:r>
    </w:p>
    <w:p w14:paraId="3745B54E" w14:textId="77777777" w:rsidR="009E5EFF" w:rsidRDefault="009E5EFF" w:rsidP="002D593A">
      <w:pPr>
        <w:pStyle w:val="NoSpacing"/>
        <w:rPr>
          <w:rFonts w:ascii="Arial" w:hAnsi="Arial" w:cs="Arial"/>
          <w:sz w:val="20"/>
          <w:szCs w:val="20"/>
        </w:rPr>
      </w:pPr>
    </w:p>
    <w:p w14:paraId="7DC1DB6E" w14:textId="62079AC5" w:rsidR="009E5EFF" w:rsidRDefault="00FB3E79" w:rsidP="002D593A">
      <w:pPr>
        <w:pStyle w:val="NoSpacing"/>
        <w:rPr>
          <w:rFonts w:ascii="Arial" w:hAnsi="Arial" w:cs="Arial"/>
          <w:sz w:val="20"/>
          <w:szCs w:val="20"/>
        </w:rPr>
      </w:pPr>
      <w:r>
        <w:rPr>
          <w:rFonts w:ascii="Arial" w:hAnsi="Arial" w:cs="Arial"/>
          <w:sz w:val="20"/>
          <w:szCs w:val="20"/>
        </w:rPr>
        <w:t xml:space="preserve">With May delivering another strong performance, the year-to-date meat department sales reached $42.6 billion, which reflects an increase of 3.7%. Year-to-date pound sales reached 9.3 billion, which is up 1.8% over the same period last year. </w:t>
      </w:r>
    </w:p>
    <w:p w14:paraId="17CFC817" w14:textId="77777777" w:rsidR="009E5EFF" w:rsidRDefault="009E5EFF" w:rsidP="002D593A">
      <w:pPr>
        <w:pStyle w:val="NoSpacing"/>
        <w:rPr>
          <w:rFonts w:ascii="Arial" w:hAnsi="Arial" w:cs="Arial"/>
          <w:sz w:val="20"/>
          <w:szCs w:val="20"/>
        </w:rPr>
      </w:pPr>
    </w:p>
    <w:p w14:paraId="442425F2" w14:textId="1908ADE6" w:rsidR="00AC56D1" w:rsidRPr="00361681" w:rsidRDefault="008D6493" w:rsidP="002D593A">
      <w:pPr>
        <w:pStyle w:val="NoSpacing"/>
        <w:rPr>
          <w:noProof/>
          <w:lang w:val="en-GB" w:eastAsia="nl-NL"/>
        </w:rPr>
      </w:pPr>
      <w:r w:rsidRPr="00617B79">
        <w:rPr>
          <w:rFonts w:ascii="Arial" w:hAnsi="Arial" w:cs="Arial"/>
          <w:bCs/>
          <w:noProof/>
          <w:color w:val="00B0F0"/>
          <w:sz w:val="20"/>
          <w:szCs w:val="16"/>
          <w:lang w:val="nl-NL" w:eastAsia="nl-NL"/>
        </w:rPr>
        <w:lastRenderedPageBreak/>
        <w:drawing>
          <wp:inline distT="0" distB="0" distL="0" distR="0" wp14:anchorId="7D040A3F" wp14:editId="230AF867">
            <wp:extent cx="6686550" cy="2441050"/>
            <wp:effectExtent l="0" t="0" r="0" b="0"/>
            <wp:docPr id="17183674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126C82" w14:textId="58A1E2AD" w:rsidR="00946E94" w:rsidRPr="00AD4C9E" w:rsidRDefault="00946E94" w:rsidP="00946E94">
      <w:pPr>
        <w:pStyle w:val="NoSpacing"/>
        <w:rPr>
          <w:rFonts w:ascii="Arial" w:hAnsi="Arial" w:cs="Arial"/>
          <w:color w:val="7F7F7F" w:themeColor="text1" w:themeTint="80"/>
          <w:sz w:val="16"/>
          <w:szCs w:val="16"/>
        </w:rPr>
      </w:pPr>
      <w:r w:rsidRPr="00AD4C9E">
        <w:rPr>
          <w:rFonts w:ascii="Arial" w:hAnsi="Arial" w:cs="Arial"/>
          <w:color w:val="7F7F7F" w:themeColor="text1" w:themeTint="80"/>
          <w:sz w:val="16"/>
          <w:szCs w:val="16"/>
        </w:rPr>
        <w:t xml:space="preserve">Source: </w:t>
      </w:r>
      <w:proofErr w:type="spellStart"/>
      <w:r w:rsidR="00FB48FE" w:rsidRPr="00AD4C9E">
        <w:rPr>
          <w:rFonts w:ascii="Arial" w:hAnsi="Arial" w:cs="Arial"/>
          <w:color w:val="7F7F7F" w:themeColor="text1" w:themeTint="80"/>
          <w:sz w:val="16"/>
          <w:szCs w:val="16"/>
        </w:rPr>
        <w:t>Circana</w:t>
      </w:r>
      <w:proofErr w:type="spellEnd"/>
      <w:r w:rsidRPr="00AD4C9E">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p w14:paraId="64D6796D" w14:textId="032B8CD1" w:rsidR="003A19B8" w:rsidRDefault="003A19B8" w:rsidP="00946E94">
      <w:pPr>
        <w:pStyle w:val="NoSpacing"/>
        <w:rPr>
          <w:rFonts w:ascii="Arial" w:hAnsi="Arial" w:cs="Arial"/>
          <w:sz w:val="16"/>
          <w:szCs w:val="16"/>
        </w:rPr>
      </w:pPr>
    </w:p>
    <w:p w14:paraId="409219F1" w14:textId="77777777" w:rsidR="00FB3E79" w:rsidRDefault="00FB3E79" w:rsidP="001D42B8">
      <w:pPr>
        <w:pStyle w:val="NoSpacing"/>
        <w:rPr>
          <w:rFonts w:ascii="Arial" w:hAnsi="Arial" w:cs="Arial"/>
          <w:b/>
          <w:color w:val="595959" w:themeColor="text1" w:themeTint="A6"/>
          <w:sz w:val="24"/>
          <w:szCs w:val="24"/>
        </w:rPr>
      </w:pPr>
    </w:p>
    <w:p w14:paraId="7B831515" w14:textId="58C960C4"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10CE3ED4" w14:textId="064AD1F9" w:rsidR="00C9447B" w:rsidRPr="00C9447B" w:rsidRDefault="00C9447B" w:rsidP="00C9447B">
      <w:pPr>
        <w:spacing w:after="0" w:line="240" w:lineRule="auto"/>
        <w:rPr>
          <w:rFonts w:ascii="Arial" w:hAnsi="Arial" w:cs="Arial"/>
          <w:sz w:val="20"/>
          <w:szCs w:val="20"/>
        </w:rPr>
      </w:pPr>
      <w:r w:rsidRPr="00C9447B">
        <w:rPr>
          <w:rFonts w:ascii="Arial" w:hAnsi="Arial" w:cs="Arial"/>
          <w:sz w:val="20"/>
          <w:szCs w:val="20"/>
        </w:rPr>
        <w:t>Meat department assortment, measured in the number of wee</w:t>
      </w:r>
      <w:r>
        <w:rPr>
          <w:rFonts w:ascii="Arial" w:hAnsi="Arial" w:cs="Arial"/>
          <w:sz w:val="20"/>
          <w:szCs w:val="20"/>
        </w:rPr>
        <w:t xml:space="preserve">kly items per store, averaged </w:t>
      </w:r>
      <w:r w:rsidR="00FC39CD">
        <w:rPr>
          <w:rFonts w:ascii="Arial" w:hAnsi="Arial" w:cs="Arial"/>
          <w:sz w:val="20"/>
          <w:szCs w:val="20"/>
        </w:rPr>
        <w:t>4</w:t>
      </w:r>
      <w:r w:rsidR="009E5EFF">
        <w:rPr>
          <w:rFonts w:ascii="Arial" w:hAnsi="Arial" w:cs="Arial"/>
          <w:sz w:val="20"/>
          <w:szCs w:val="20"/>
        </w:rPr>
        <w:t>2</w:t>
      </w:r>
      <w:r w:rsidR="00FB3E79">
        <w:rPr>
          <w:rFonts w:ascii="Arial" w:hAnsi="Arial" w:cs="Arial"/>
          <w:sz w:val="20"/>
          <w:szCs w:val="20"/>
        </w:rPr>
        <w:t>9</w:t>
      </w:r>
      <w:r w:rsidRPr="00C9447B">
        <w:rPr>
          <w:rFonts w:ascii="Arial" w:hAnsi="Arial" w:cs="Arial"/>
          <w:sz w:val="20"/>
          <w:szCs w:val="20"/>
        </w:rPr>
        <w:t xml:space="preserve"> SKUs in</w:t>
      </w:r>
      <w:r w:rsidR="008A1275">
        <w:rPr>
          <w:rFonts w:ascii="Arial" w:hAnsi="Arial" w:cs="Arial"/>
          <w:sz w:val="20"/>
          <w:szCs w:val="20"/>
        </w:rPr>
        <w:t xml:space="preserve"> </w:t>
      </w:r>
      <w:r w:rsidR="00FB3E79">
        <w:rPr>
          <w:rFonts w:ascii="Arial" w:hAnsi="Arial" w:cs="Arial"/>
          <w:sz w:val="20"/>
          <w:szCs w:val="20"/>
        </w:rPr>
        <w:t>May</w:t>
      </w:r>
    </w:p>
    <w:p w14:paraId="7355DADF" w14:textId="0107A063" w:rsidR="00C9447B" w:rsidRDefault="00C9447B" w:rsidP="00C9447B">
      <w:pPr>
        <w:spacing w:after="0" w:line="240" w:lineRule="auto"/>
        <w:rPr>
          <w:rFonts w:ascii="Arial" w:hAnsi="Arial" w:cs="Arial"/>
          <w:sz w:val="20"/>
          <w:szCs w:val="20"/>
        </w:rPr>
      </w:pPr>
      <w:r w:rsidRPr="00C9447B">
        <w:rPr>
          <w:rFonts w:ascii="Arial" w:hAnsi="Arial" w:cs="Arial"/>
          <w:sz w:val="20"/>
          <w:szCs w:val="20"/>
        </w:rPr>
        <w:t>202</w:t>
      </w:r>
      <w:r w:rsidR="000D6C1A">
        <w:rPr>
          <w:rFonts w:ascii="Arial" w:hAnsi="Arial" w:cs="Arial"/>
          <w:sz w:val="20"/>
          <w:szCs w:val="20"/>
        </w:rPr>
        <w:t xml:space="preserve">4 — holding steady around </w:t>
      </w:r>
      <w:r w:rsidR="00617B79">
        <w:rPr>
          <w:rFonts w:ascii="Arial" w:hAnsi="Arial" w:cs="Arial"/>
          <w:sz w:val="20"/>
          <w:szCs w:val="20"/>
        </w:rPr>
        <w:t>40 to 50</w:t>
      </w:r>
      <w:r w:rsidR="009E62E9">
        <w:rPr>
          <w:rFonts w:ascii="Arial" w:hAnsi="Arial" w:cs="Arial"/>
          <w:sz w:val="20"/>
          <w:szCs w:val="20"/>
        </w:rPr>
        <w:t xml:space="preserve"> items below pre-pandemic levels.</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530" w:type="dxa"/>
        <w:tblLayout w:type="fixed"/>
        <w:tblLook w:val="04A0" w:firstRow="1" w:lastRow="0" w:firstColumn="1" w:lastColumn="0" w:noHBand="0" w:noVBand="1"/>
      </w:tblPr>
      <w:tblGrid>
        <w:gridCol w:w="1366"/>
        <w:gridCol w:w="739"/>
        <w:gridCol w:w="850"/>
        <w:gridCol w:w="852"/>
        <w:gridCol w:w="851"/>
        <w:gridCol w:w="717"/>
        <w:gridCol w:w="850"/>
        <w:gridCol w:w="775"/>
        <w:gridCol w:w="908"/>
        <w:gridCol w:w="874"/>
        <w:gridCol w:w="874"/>
        <w:gridCol w:w="874"/>
      </w:tblGrid>
      <w:tr w:rsidR="00617B79" w14:paraId="156AE0C7" w14:textId="207E4BBC" w:rsidTr="00260C8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6" w:type="dxa"/>
            <w:tcBorders>
              <w:top w:val="nil"/>
              <w:bottom w:val="nil"/>
            </w:tcBorders>
            <w:shd w:val="clear" w:color="auto" w:fill="17365D" w:themeFill="text2" w:themeFillShade="BF"/>
          </w:tcPr>
          <w:p w14:paraId="4EC178F7" w14:textId="77777777" w:rsidR="00617B79" w:rsidRDefault="00617B79" w:rsidP="001A5995">
            <w:pPr>
              <w:pStyle w:val="NoSpacing"/>
              <w:tabs>
                <w:tab w:val="left" w:pos="591"/>
                <w:tab w:val="center" w:pos="3761"/>
              </w:tabs>
              <w:rPr>
                <w:rFonts w:ascii="Arial" w:hAnsi="Arial" w:cs="Arial"/>
                <w:color w:val="FFFFFF" w:themeColor="background1"/>
                <w:sz w:val="18"/>
                <w:szCs w:val="20"/>
              </w:rPr>
            </w:pPr>
            <w:r>
              <w:br w:type="page"/>
            </w:r>
          </w:p>
        </w:tc>
        <w:tc>
          <w:tcPr>
            <w:tcW w:w="9164" w:type="dxa"/>
            <w:gridSpan w:val="11"/>
            <w:tcBorders>
              <w:top w:val="nil"/>
              <w:bottom w:val="nil"/>
            </w:tcBorders>
            <w:shd w:val="clear" w:color="auto" w:fill="17365D" w:themeFill="text2" w:themeFillShade="BF"/>
          </w:tcPr>
          <w:p w14:paraId="3631EAED" w14:textId="6AA02F5C" w:rsidR="00617B79" w:rsidRDefault="00617B79"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r>
      <w:tr w:rsidR="00F712CC" w14:paraId="378AF6F6" w14:textId="43B5F4C9" w:rsidTr="00F712C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366" w:type="dxa"/>
            <w:tcBorders>
              <w:top w:val="nil"/>
            </w:tcBorders>
            <w:shd w:val="clear" w:color="auto" w:fill="17365D" w:themeFill="text2" w:themeFillShade="BF"/>
          </w:tcPr>
          <w:p w14:paraId="403DDFA0" w14:textId="77777777" w:rsidR="00F712CC" w:rsidRPr="00E23819" w:rsidRDefault="00F712CC" w:rsidP="001A5995">
            <w:pPr>
              <w:pStyle w:val="NoSpacing"/>
              <w:jc w:val="right"/>
              <w:rPr>
                <w:rFonts w:ascii="Arial" w:hAnsi="Arial" w:cs="Arial"/>
                <w:color w:val="FFFFFF" w:themeColor="background1"/>
                <w:sz w:val="18"/>
                <w:szCs w:val="20"/>
              </w:rPr>
            </w:pPr>
          </w:p>
        </w:tc>
        <w:tc>
          <w:tcPr>
            <w:tcW w:w="739" w:type="dxa"/>
            <w:tcBorders>
              <w:top w:val="nil"/>
            </w:tcBorders>
            <w:shd w:val="clear" w:color="auto" w:fill="17365D" w:themeFill="text2" w:themeFillShade="BF"/>
          </w:tcPr>
          <w:p w14:paraId="20B8D2D8" w14:textId="77777777" w:rsidR="00F712CC" w:rsidRPr="00FF4A07"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850" w:type="dxa"/>
            <w:tcBorders>
              <w:top w:val="nil"/>
            </w:tcBorders>
            <w:shd w:val="clear" w:color="auto" w:fill="17365D" w:themeFill="text2" w:themeFillShade="BF"/>
          </w:tcPr>
          <w:p w14:paraId="6D7D7A83" w14:textId="77777777" w:rsidR="00F712CC" w:rsidRPr="00FF4A07"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852" w:type="dxa"/>
            <w:tcBorders>
              <w:top w:val="nil"/>
            </w:tcBorders>
            <w:shd w:val="clear" w:color="auto" w:fill="17365D" w:themeFill="text2" w:themeFillShade="BF"/>
          </w:tcPr>
          <w:p w14:paraId="01D1EFD3" w14:textId="10F58706"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851" w:type="dxa"/>
            <w:tcBorders>
              <w:top w:val="nil"/>
            </w:tcBorders>
            <w:shd w:val="clear" w:color="auto" w:fill="17365D" w:themeFill="text2" w:themeFillShade="BF"/>
          </w:tcPr>
          <w:p w14:paraId="27746672" w14:textId="782CA79E"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17" w:type="dxa"/>
            <w:tcBorders>
              <w:top w:val="nil"/>
            </w:tcBorders>
            <w:shd w:val="clear" w:color="auto" w:fill="17365D" w:themeFill="text2" w:themeFillShade="BF"/>
          </w:tcPr>
          <w:p w14:paraId="19074D0E" w14:textId="4E794DE7"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850" w:type="dxa"/>
            <w:tcBorders>
              <w:top w:val="nil"/>
            </w:tcBorders>
            <w:shd w:val="clear" w:color="auto" w:fill="17365D" w:themeFill="text2" w:themeFillShade="BF"/>
          </w:tcPr>
          <w:p w14:paraId="1BD28A28" w14:textId="3FE22086"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23</w:t>
            </w:r>
          </w:p>
        </w:tc>
        <w:tc>
          <w:tcPr>
            <w:tcW w:w="775" w:type="dxa"/>
            <w:tcBorders>
              <w:top w:val="nil"/>
            </w:tcBorders>
            <w:shd w:val="clear" w:color="auto" w:fill="17365D" w:themeFill="text2" w:themeFillShade="BF"/>
          </w:tcPr>
          <w:p w14:paraId="3F6C4016" w14:textId="4B477C00"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23</w:t>
            </w:r>
          </w:p>
        </w:tc>
        <w:tc>
          <w:tcPr>
            <w:tcW w:w="908" w:type="dxa"/>
            <w:tcBorders>
              <w:top w:val="nil"/>
            </w:tcBorders>
            <w:shd w:val="clear" w:color="auto" w:fill="17365D" w:themeFill="text2" w:themeFillShade="BF"/>
          </w:tcPr>
          <w:p w14:paraId="25415A59" w14:textId="075B549F"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23</w:t>
            </w:r>
          </w:p>
        </w:tc>
        <w:tc>
          <w:tcPr>
            <w:tcW w:w="874" w:type="dxa"/>
            <w:tcBorders>
              <w:top w:val="nil"/>
            </w:tcBorders>
            <w:shd w:val="clear" w:color="auto" w:fill="17365D" w:themeFill="text2" w:themeFillShade="BF"/>
          </w:tcPr>
          <w:p w14:paraId="4943DE4F" w14:textId="061DC782" w:rsidR="00F712CC" w:rsidRDefault="00F712CC" w:rsidP="00992685">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23</w:t>
            </w:r>
          </w:p>
        </w:tc>
        <w:tc>
          <w:tcPr>
            <w:tcW w:w="874" w:type="dxa"/>
            <w:tcBorders>
              <w:top w:val="nil"/>
            </w:tcBorders>
            <w:shd w:val="clear" w:color="auto" w:fill="17365D" w:themeFill="text2" w:themeFillShade="BF"/>
          </w:tcPr>
          <w:p w14:paraId="552436E7" w14:textId="71E52205" w:rsidR="00F712CC" w:rsidRDefault="00F712CC" w:rsidP="002E1C0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874" w:type="dxa"/>
            <w:tcBorders>
              <w:top w:val="nil"/>
            </w:tcBorders>
            <w:shd w:val="clear" w:color="auto" w:fill="17365D" w:themeFill="text2" w:themeFillShade="BF"/>
          </w:tcPr>
          <w:p w14:paraId="367CA0C1" w14:textId="3A206C2D" w:rsidR="00F712CC" w:rsidRDefault="00FB3E79" w:rsidP="002E1C0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May</w:t>
            </w:r>
            <w:r w:rsidR="00F712CC">
              <w:rPr>
                <w:rFonts w:ascii="Arial" w:hAnsi="Arial" w:cs="Arial"/>
                <w:b/>
                <w:color w:val="FFFFFF" w:themeColor="background1"/>
                <w:sz w:val="18"/>
                <w:szCs w:val="18"/>
              </w:rPr>
              <w:t xml:space="preserve"> 24</w:t>
            </w:r>
          </w:p>
        </w:tc>
      </w:tr>
      <w:tr w:rsidR="00F712CC" w:rsidRPr="00752B13" w14:paraId="5AC6947B" w14:textId="662FEEDE" w:rsidTr="00FC39CD">
        <w:trPr>
          <w:trHeight w:val="281"/>
        </w:trPr>
        <w:tc>
          <w:tcPr>
            <w:cnfStyle w:val="001000000000" w:firstRow="0" w:lastRow="0" w:firstColumn="1" w:lastColumn="0" w:oddVBand="0" w:evenVBand="0" w:oddHBand="0" w:evenHBand="0" w:firstRowFirstColumn="0" w:firstRowLastColumn="0" w:lastRowFirstColumn="0" w:lastRowLastColumn="0"/>
            <w:tcW w:w="1366" w:type="dxa"/>
            <w:tcBorders>
              <w:bottom w:val="nil"/>
            </w:tcBorders>
            <w:vAlign w:val="center"/>
          </w:tcPr>
          <w:p w14:paraId="69310325" w14:textId="77777777" w:rsidR="00F712CC" w:rsidRPr="00FB41A2" w:rsidRDefault="00F712CC" w:rsidP="001A5995">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739" w:type="dxa"/>
            <w:tcBorders>
              <w:bottom w:val="nil"/>
            </w:tcBorders>
            <w:vAlign w:val="center"/>
          </w:tcPr>
          <w:p w14:paraId="1852A319" w14:textId="0893541A"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850" w:type="dxa"/>
            <w:tcBorders>
              <w:bottom w:val="nil"/>
            </w:tcBorders>
            <w:vAlign w:val="center"/>
          </w:tcPr>
          <w:p w14:paraId="3547A4D7" w14:textId="7FE5D2F6"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52" w:type="dxa"/>
            <w:tcBorders>
              <w:bottom w:val="nil"/>
            </w:tcBorders>
            <w:vAlign w:val="center"/>
          </w:tcPr>
          <w:p w14:paraId="188B8CC5" w14:textId="077E1EE2"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51" w:type="dxa"/>
            <w:tcBorders>
              <w:bottom w:val="nil"/>
            </w:tcBorders>
            <w:vAlign w:val="center"/>
          </w:tcPr>
          <w:p w14:paraId="0E407B4B" w14:textId="4D64F9C3"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17" w:type="dxa"/>
            <w:tcBorders>
              <w:bottom w:val="nil"/>
            </w:tcBorders>
            <w:vAlign w:val="center"/>
          </w:tcPr>
          <w:p w14:paraId="234D09B9" w14:textId="1A03F49C"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50" w:type="dxa"/>
            <w:tcBorders>
              <w:bottom w:val="nil"/>
            </w:tcBorders>
            <w:vAlign w:val="center"/>
          </w:tcPr>
          <w:p w14:paraId="757FA1E1" w14:textId="15DFE701" w:rsidR="00F712CC" w:rsidRPr="00FB41A2"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775" w:type="dxa"/>
            <w:tcBorders>
              <w:bottom w:val="nil"/>
            </w:tcBorders>
            <w:vAlign w:val="center"/>
          </w:tcPr>
          <w:p w14:paraId="4C02F6D8" w14:textId="1A9E71CC" w:rsidR="00F712CC" w:rsidRPr="00275A41"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437</w:t>
            </w:r>
          </w:p>
        </w:tc>
        <w:tc>
          <w:tcPr>
            <w:tcW w:w="908" w:type="dxa"/>
            <w:tcBorders>
              <w:bottom w:val="nil"/>
            </w:tcBorders>
            <w:vAlign w:val="center"/>
          </w:tcPr>
          <w:p w14:paraId="76D58493" w14:textId="04E81535" w:rsidR="00F712CC" w:rsidRDefault="00F712CC" w:rsidP="0099268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874" w:type="dxa"/>
            <w:tcBorders>
              <w:bottom w:val="nil"/>
            </w:tcBorders>
            <w:vAlign w:val="center"/>
          </w:tcPr>
          <w:p w14:paraId="60C4B9AA" w14:textId="72EDACD4" w:rsidR="00F712CC" w:rsidRPr="00431CC6" w:rsidRDefault="00F712CC"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74" w:type="dxa"/>
            <w:tcBorders>
              <w:bottom w:val="nil"/>
            </w:tcBorders>
            <w:vAlign w:val="center"/>
          </w:tcPr>
          <w:p w14:paraId="677DF837" w14:textId="22AD76AC" w:rsidR="00F712CC" w:rsidRDefault="00FC39CD"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874" w:type="dxa"/>
            <w:tcBorders>
              <w:bottom w:val="nil"/>
            </w:tcBorders>
            <w:vAlign w:val="center"/>
          </w:tcPr>
          <w:p w14:paraId="57EBA3EC" w14:textId="7D3B91EA" w:rsidR="00F712CC" w:rsidRPr="00431CC6" w:rsidRDefault="009E5EFF"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w:t>
            </w:r>
            <w:r w:rsidR="00FB3E79">
              <w:rPr>
                <w:rFonts w:ascii="Arial" w:hAnsi="Arial" w:cs="Arial"/>
                <w:color w:val="000000" w:themeColor="text1"/>
                <w:sz w:val="18"/>
                <w:szCs w:val="20"/>
              </w:rPr>
              <w:t>9</w:t>
            </w:r>
          </w:p>
        </w:tc>
      </w:tr>
      <w:tr w:rsidR="00F712CC" w:rsidRPr="00752B13" w14:paraId="45D95AB2" w14:textId="05FC7672" w:rsidTr="00FC39C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6" w:type="dxa"/>
            <w:tcBorders>
              <w:top w:val="nil"/>
              <w:bottom w:val="nil"/>
            </w:tcBorders>
            <w:shd w:val="clear" w:color="auto" w:fill="D9D9D9" w:themeFill="background1" w:themeFillShade="D9"/>
            <w:vAlign w:val="center"/>
          </w:tcPr>
          <w:p w14:paraId="0F3B2148" w14:textId="15996EE4" w:rsidR="00F712CC" w:rsidRPr="00FB41A2" w:rsidRDefault="00F712CC" w:rsidP="001A5995">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739" w:type="dxa"/>
            <w:tcBorders>
              <w:top w:val="nil"/>
              <w:bottom w:val="nil"/>
            </w:tcBorders>
            <w:shd w:val="clear" w:color="auto" w:fill="D9D9D9" w:themeFill="background1" w:themeFillShade="D9"/>
            <w:vAlign w:val="center"/>
          </w:tcPr>
          <w:p w14:paraId="6A787E87" w14:textId="34CA62A7" w:rsidR="00F712CC" w:rsidRPr="00FB41A2" w:rsidRDefault="008A1275"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850" w:type="dxa"/>
            <w:tcBorders>
              <w:top w:val="nil"/>
              <w:bottom w:val="nil"/>
            </w:tcBorders>
            <w:shd w:val="clear" w:color="auto" w:fill="D9D9D9" w:themeFill="background1" w:themeFillShade="D9"/>
            <w:vAlign w:val="center"/>
          </w:tcPr>
          <w:p w14:paraId="2B9AE3CD" w14:textId="1F2E54FA"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852" w:type="dxa"/>
            <w:tcBorders>
              <w:top w:val="nil"/>
              <w:bottom w:val="nil"/>
            </w:tcBorders>
            <w:shd w:val="clear" w:color="auto" w:fill="D9D9D9" w:themeFill="background1" w:themeFillShade="D9"/>
            <w:vAlign w:val="center"/>
          </w:tcPr>
          <w:p w14:paraId="7021F262" w14:textId="0A773F5C"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851" w:type="dxa"/>
            <w:tcBorders>
              <w:top w:val="nil"/>
              <w:bottom w:val="nil"/>
            </w:tcBorders>
            <w:shd w:val="clear" w:color="auto" w:fill="D9D9D9" w:themeFill="background1" w:themeFillShade="D9"/>
            <w:vAlign w:val="center"/>
          </w:tcPr>
          <w:p w14:paraId="439BAA19" w14:textId="57F3B736"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17" w:type="dxa"/>
            <w:tcBorders>
              <w:top w:val="nil"/>
              <w:bottom w:val="nil"/>
            </w:tcBorders>
            <w:shd w:val="clear" w:color="auto" w:fill="D9D9D9" w:themeFill="background1" w:themeFillShade="D9"/>
            <w:vAlign w:val="center"/>
          </w:tcPr>
          <w:p w14:paraId="493E3E61" w14:textId="28B4BE56"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850" w:type="dxa"/>
            <w:tcBorders>
              <w:top w:val="nil"/>
              <w:bottom w:val="nil"/>
            </w:tcBorders>
            <w:shd w:val="clear" w:color="auto" w:fill="D9D9D9" w:themeFill="background1" w:themeFillShade="D9"/>
            <w:vAlign w:val="center"/>
          </w:tcPr>
          <w:p w14:paraId="01E1F045" w14:textId="26C748CF"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w:t>
            </w:r>
            <w:r>
              <w:rPr>
                <w:rFonts w:ascii="Arial" w:hAnsi="Arial" w:cs="Arial"/>
                <w:color w:val="000000" w:themeColor="text1"/>
                <w:sz w:val="18"/>
                <w:szCs w:val="18"/>
              </w:rPr>
              <w:t>0.2</w:t>
            </w:r>
            <w:r w:rsidRPr="00FB41A2">
              <w:rPr>
                <w:rFonts w:ascii="Arial" w:hAnsi="Arial" w:cs="Arial"/>
                <w:color w:val="000000" w:themeColor="text1"/>
                <w:sz w:val="18"/>
                <w:szCs w:val="18"/>
              </w:rPr>
              <w:t>%</w:t>
            </w:r>
          </w:p>
        </w:tc>
        <w:tc>
          <w:tcPr>
            <w:tcW w:w="775" w:type="dxa"/>
            <w:tcBorders>
              <w:top w:val="nil"/>
              <w:bottom w:val="nil"/>
            </w:tcBorders>
            <w:shd w:val="clear" w:color="auto" w:fill="D9D9D9" w:themeFill="background1" w:themeFillShade="D9"/>
            <w:vAlign w:val="center"/>
          </w:tcPr>
          <w:p w14:paraId="1A7652FA" w14:textId="5422FB01" w:rsidR="00F712CC" w:rsidRPr="00275A41"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Pr="00275A41">
              <w:rPr>
                <w:rFonts w:ascii="Arial" w:hAnsi="Arial" w:cs="Arial"/>
                <w:color w:val="000000" w:themeColor="text1"/>
                <w:sz w:val="18"/>
                <w:szCs w:val="18"/>
              </w:rPr>
              <w:t>%</w:t>
            </w:r>
          </w:p>
        </w:tc>
        <w:tc>
          <w:tcPr>
            <w:tcW w:w="908" w:type="dxa"/>
            <w:tcBorders>
              <w:top w:val="nil"/>
              <w:bottom w:val="nil"/>
            </w:tcBorders>
            <w:shd w:val="clear" w:color="auto" w:fill="D9D9D9" w:themeFill="background1" w:themeFillShade="D9"/>
            <w:vAlign w:val="center"/>
          </w:tcPr>
          <w:p w14:paraId="1581C0C0" w14:textId="22B2EAC9" w:rsidR="00F712CC" w:rsidRPr="00FB41A2" w:rsidRDefault="00F712CC" w:rsidP="0099268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p>
        </w:tc>
        <w:tc>
          <w:tcPr>
            <w:tcW w:w="874" w:type="dxa"/>
            <w:tcBorders>
              <w:top w:val="nil"/>
              <w:bottom w:val="nil"/>
            </w:tcBorders>
            <w:shd w:val="clear" w:color="auto" w:fill="D9D9D9" w:themeFill="background1" w:themeFillShade="D9"/>
            <w:vAlign w:val="center"/>
          </w:tcPr>
          <w:p w14:paraId="6996C2C8" w14:textId="5CB0D926" w:rsidR="00F712CC" w:rsidRDefault="00F712CC"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p>
        </w:tc>
        <w:tc>
          <w:tcPr>
            <w:tcW w:w="874" w:type="dxa"/>
            <w:tcBorders>
              <w:top w:val="nil"/>
              <w:bottom w:val="nil"/>
            </w:tcBorders>
            <w:shd w:val="clear" w:color="auto" w:fill="D9D9D9" w:themeFill="background1" w:themeFillShade="D9"/>
            <w:vAlign w:val="center"/>
          </w:tcPr>
          <w:p w14:paraId="5EA98CAA" w14:textId="78E6B47D" w:rsidR="00F712CC" w:rsidRDefault="00FC39CD"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874" w:type="dxa"/>
            <w:tcBorders>
              <w:top w:val="nil"/>
              <w:bottom w:val="nil"/>
            </w:tcBorders>
            <w:shd w:val="clear" w:color="auto" w:fill="D9D9D9" w:themeFill="background1" w:themeFillShade="D9"/>
            <w:vAlign w:val="center"/>
          </w:tcPr>
          <w:p w14:paraId="4158A17F" w14:textId="18452D93" w:rsidR="00F712CC" w:rsidRPr="00FB41A2" w:rsidRDefault="00F712CC"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E5EFF">
              <w:rPr>
                <w:rFonts w:ascii="Arial" w:hAnsi="Arial" w:cs="Arial"/>
                <w:color w:val="000000" w:themeColor="text1"/>
                <w:sz w:val="18"/>
                <w:szCs w:val="18"/>
              </w:rPr>
              <w:t>2</w:t>
            </w:r>
            <w:r>
              <w:rPr>
                <w:rFonts w:ascii="Arial" w:hAnsi="Arial" w:cs="Arial"/>
                <w:color w:val="000000" w:themeColor="text1"/>
                <w:sz w:val="18"/>
                <w:szCs w:val="18"/>
              </w:rPr>
              <w:t>.</w:t>
            </w:r>
            <w:r w:rsidR="00FB3E79">
              <w:rPr>
                <w:rFonts w:ascii="Arial" w:hAnsi="Arial" w:cs="Arial"/>
                <w:color w:val="000000" w:themeColor="text1"/>
                <w:sz w:val="18"/>
                <w:szCs w:val="18"/>
              </w:rPr>
              <w:t>2</w:t>
            </w:r>
            <w:r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3BD88C7" w14:textId="73A98531" w:rsidR="004F2EE0" w:rsidRPr="00786E3E" w:rsidRDefault="001D42B8" w:rsidP="001D42B8">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p>
    <w:p w14:paraId="7BDFF32E" w14:textId="77777777" w:rsidR="007E7040" w:rsidRDefault="007E7040" w:rsidP="007A2A81">
      <w:pPr>
        <w:pStyle w:val="NoSpacing"/>
        <w:rPr>
          <w:rFonts w:ascii="Arial" w:hAnsi="Arial" w:cs="Arial"/>
          <w:b/>
          <w:color w:val="595959" w:themeColor="text1" w:themeTint="A6"/>
          <w:sz w:val="24"/>
          <w:szCs w:val="24"/>
        </w:rPr>
      </w:pPr>
      <w:bookmarkStart w:id="6" w:name="_Hlk76976129"/>
    </w:p>
    <w:p w14:paraId="7D2DECE6" w14:textId="7472B960"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4AC16789" w14:textId="4640D868" w:rsidR="00525982" w:rsidRDefault="009E660A" w:rsidP="00F71B42">
      <w:pPr>
        <w:pStyle w:val="NoSpacing"/>
        <w:rPr>
          <w:rFonts w:ascii="Arial" w:hAnsi="Arial" w:cs="Arial"/>
          <w:sz w:val="20"/>
          <w:szCs w:val="20"/>
        </w:rPr>
      </w:pPr>
      <w:r>
        <w:rPr>
          <w:rFonts w:ascii="Arial" w:hAnsi="Arial" w:cs="Arial"/>
          <w:sz w:val="20"/>
          <w:szCs w:val="20"/>
        </w:rPr>
        <w:t xml:space="preserve">Fresh meat sales continued to strengthen in May, with pound gains for all but pork and veal. </w:t>
      </w:r>
      <w:r w:rsidR="00330ACD">
        <w:rPr>
          <w:rFonts w:ascii="Arial" w:hAnsi="Arial" w:cs="Arial"/>
          <w:sz w:val="20"/>
          <w:szCs w:val="20"/>
        </w:rPr>
        <w:t xml:space="preserve">In the 52-week view, more and more proteins are starting to track ahead year-on-year in pound sales as well. This includes fresh beef that has experienced above-average inflation due to tight supply conditions. Fresh chicken increased pound sales 3.1% year-on-year and lamb (while a smaller seller) is pacing 10.6% ahead of year-ago levels. </w:t>
      </w:r>
    </w:p>
    <w:p w14:paraId="3C5907D2" w14:textId="77777777" w:rsidR="00525982" w:rsidRDefault="00525982" w:rsidP="00F71B42">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107"/>
        <w:gridCol w:w="827"/>
        <w:gridCol w:w="1333"/>
        <w:gridCol w:w="1333"/>
      </w:tblGrid>
      <w:tr w:rsidR="002C18CE" w:rsidRPr="0003007F" w14:paraId="17BFBC6C" w14:textId="77777777" w:rsidTr="001B07D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54" w:type="dxa"/>
            <w:gridSpan w:val="4"/>
            <w:tcBorders>
              <w:top w:val="nil"/>
              <w:bottom w:val="nil"/>
            </w:tcBorders>
            <w:shd w:val="clear" w:color="auto" w:fill="17365D" w:themeFill="text2" w:themeFillShade="BF"/>
          </w:tcPr>
          <w:p w14:paraId="64494292" w14:textId="60B42A53" w:rsidR="002C18CE" w:rsidRPr="00AB1306" w:rsidRDefault="002C18CE" w:rsidP="00FB48FE">
            <w:pPr>
              <w:pStyle w:val="NoSpacing"/>
              <w:jc w:val="right"/>
              <w:rPr>
                <w:rFonts w:ascii="Arial" w:hAnsi="Arial" w:cs="Arial"/>
                <w:color w:val="FFFFFF" w:themeColor="background1"/>
                <w:sz w:val="18"/>
                <w:szCs w:val="18"/>
              </w:rPr>
            </w:pPr>
            <w:bookmarkStart w:id="7" w:name="_Hlk137219531"/>
            <w:r>
              <w:rPr>
                <w:rFonts w:ascii="Arial" w:hAnsi="Arial" w:cs="Arial"/>
                <w:color w:val="FFFFFF" w:themeColor="background1"/>
                <w:sz w:val="18"/>
                <w:szCs w:val="18"/>
              </w:rPr>
              <w:t xml:space="preserve">    </w:t>
            </w:r>
            <w:r w:rsidR="00FB3E79">
              <w:rPr>
                <w:rFonts w:ascii="Arial" w:hAnsi="Arial" w:cs="Arial"/>
                <w:color w:val="FFFFFF" w:themeColor="background1"/>
                <w:sz w:val="18"/>
                <w:szCs w:val="18"/>
              </w:rPr>
              <w:t xml:space="preserve">May </w:t>
            </w:r>
            <w:r w:rsidR="001F639F">
              <w:rPr>
                <w:rFonts w:ascii="Arial" w:hAnsi="Arial" w:cs="Arial"/>
                <w:color w:val="FFFFFF" w:themeColor="background1"/>
                <w:sz w:val="18"/>
                <w:szCs w:val="18"/>
              </w:rPr>
              <w:t>2024</w:t>
            </w:r>
          </w:p>
        </w:tc>
        <w:tc>
          <w:tcPr>
            <w:tcW w:w="3493" w:type="dxa"/>
            <w:gridSpan w:val="4"/>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3" w:type="dxa"/>
            <w:gridSpan w:val="3"/>
            <w:tcBorders>
              <w:top w:val="nil"/>
              <w:bottom w:val="nil"/>
            </w:tcBorders>
            <w:shd w:val="clear" w:color="auto" w:fill="17365D" w:themeFill="text2" w:themeFillShade="BF"/>
          </w:tcPr>
          <w:p w14:paraId="3327C510" w14:textId="0F6F95C7"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ending </w:t>
            </w:r>
            <w:r w:rsidR="00FB3E79">
              <w:rPr>
                <w:rFonts w:ascii="Arial" w:hAnsi="Arial" w:cs="Arial"/>
                <w:color w:val="FFFFFF" w:themeColor="background1"/>
                <w:sz w:val="18"/>
                <w:szCs w:val="18"/>
              </w:rPr>
              <w:t>6</w:t>
            </w:r>
            <w:r w:rsidR="00922058">
              <w:rPr>
                <w:rFonts w:ascii="Arial" w:hAnsi="Arial" w:cs="Arial"/>
                <w:color w:val="FFFFFF" w:themeColor="background1"/>
                <w:sz w:val="18"/>
                <w:szCs w:val="18"/>
              </w:rPr>
              <w:t>/</w:t>
            </w:r>
            <w:r w:rsidR="00800CC8">
              <w:rPr>
                <w:rFonts w:ascii="Arial" w:hAnsi="Arial" w:cs="Arial"/>
                <w:color w:val="FFFFFF" w:themeColor="background1"/>
                <w:sz w:val="18"/>
                <w:szCs w:val="18"/>
              </w:rPr>
              <w:t>2</w:t>
            </w:r>
            <w:r>
              <w:rPr>
                <w:rFonts w:ascii="Arial" w:hAnsi="Arial" w:cs="Arial"/>
                <w:color w:val="FFFFFF" w:themeColor="background1"/>
                <w:sz w:val="18"/>
                <w:szCs w:val="18"/>
              </w:rPr>
              <w:t>/</w:t>
            </w:r>
            <w:r w:rsidR="001F639F">
              <w:rPr>
                <w:rFonts w:ascii="Arial" w:hAnsi="Arial" w:cs="Arial"/>
                <w:color w:val="FFFFFF" w:themeColor="background1"/>
                <w:sz w:val="18"/>
                <w:szCs w:val="18"/>
              </w:rPr>
              <w:t>2024</w:t>
            </w:r>
          </w:p>
        </w:tc>
      </w:tr>
      <w:tr w:rsidR="00525982" w:rsidRPr="002A3B9B" w14:paraId="02E6A43C" w14:textId="77777777" w:rsidTr="0052598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34" w:type="dxa"/>
            <w:gridSpan w:val="2"/>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333"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525982" w:rsidRPr="002A3B9B" w14:paraId="0DF0D3D5" w14:textId="77777777" w:rsidTr="00FC39CD">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525982" w:rsidRPr="00FB41A2" w:rsidRDefault="00525982" w:rsidP="005E11C7">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037A5580" w:rsidR="00525982" w:rsidRPr="00FB41A2" w:rsidRDefault="00525982" w:rsidP="007D5CB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FB3E79">
              <w:rPr>
                <w:rFonts w:ascii="Arial" w:hAnsi="Arial" w:cs="Arial"/>
                <w:b/>
                <w:bCs/>
                <w:color w:val="000000" w:themeColor="text1"/>
                <w:sz w:val="18"/>
                <w:szCs w:val="18"/>
              </w:rPr>
              <w:t>6.9</w:t>
            </w:r>
            <w:r w:rsidRPr="00FB41A2">
              <w:rPr>
                <w:rFonts w:ascii="Arial" w:hAnsi="Arial" w:cs="Arial"/>
                <w:b/>
                <w:bCs/>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25CAEDB6" w14:textId="7E735D72" w:rsidR="00525982" w:rsidRPr="00FB41A2" w:rsidRDefault="000B1DF1" w:rsidP="007D5CB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B3E79">
              <w:rPr>
                <w:rFonts w:ascii="Arial" w:hAnsi="Arial" w:cs="Arial"/>
                <w:b/>
                <w:bCs/>
                <w:color w:val="000000" w:themeColor="text1"/>
                <w:sz w:val="18"/>
                <w:szCs w:val="18"/>
              </w:rPr>
              <w:t>5.2</w:t>
            </w:r>
            <w:r w:rsidR="00E54A99" w:rsidRPr="00FB41A2">
              <w:rPr>
                <w:rFonts w:ascii="Arial" w:hAnsi="Arial" w:cs="Arial"/>
                <w:b/>
                <w:bCs/>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489B8CF8" w:rsidR="00525982" w:rsidRPr="00FB41A2" w:rsidRDefault="000B1DF1" w:rsidP="007D5CB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B3E79">
              <w:rPr>
                <w:rFonts w:ascii="Arial" w:hAnsi="Arial" w:cs="Arial"/>
                <w:b/>
                <w:bCs/>
                <w:color w:val="000000" w:themeColor="text1"/>
                <w:sz w:val="18"/>
                <w:szCs w:val="18"/>
              </w:rPr>
              <w:t>1.5</w:t>
            </w:r>
            <w:r w:rsidR="00AB0103" w:rsidRPr="00FB41A2">
              <w:rPr>
                <w:rFonts w:ascii="Arial" w:hAnsi="Arial" w:cs="Arial"/>
                <w:b/>
                <w:bCs/>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3C4770B6" w14:textId="5C41D3DF" w:rsidR="00525982" w:rsidRPr="00FB41A2" w:rsidRDefault="00525982" w:rsidP="0031766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Total fresh meat</w:t>
            </w:r>
          </w:p>
        </w:tc>
        <w:tc>
          <w:tcPr>
            <w:tcW w:w="934" w:type="dxa"/>
            <w:gridSpan w:val="2"/>
            <w:tcBorders>
              <w:top w:val="nil"/>
              <w:left w:val="nil"/>
              <w:bottom w:val="nil"/>
              <w:right w:val="nil"/>
            </w:tcBorders>
            <w:shd w:val="clear" w:color="auto" w:fill="auto"/>
            <w:vAlign w:val="center"/>
          </w:tcPr>
          <w:p w14:paraId="1BBBDBF3" w14:textId="46215507" w:rsidR="00525982" w:rsidRPr="00FB41A2" w:rsidRDefault="00525982"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9E660A">
              <w:rPr>
                <w:rFonts w:ascii="Arial" w:hAnsi="Arial" w:cs="Arial"/>
                <w:b/>
                <w:bCs/>
                <w:color w:val="000000" w:themeColor="text1"/>
                <w:sz w:val="18"/>
                <w:szCs w:val="18"/>
              </w:rPr>
              <w:t>69.8</w:t>
            </w:r>
            <w:r w:rsidRPr="00FB41A2">
              <w:rPr>
                <w:rFonts w:ascii="Arial" w:hAnsi="Arial" w:cs="Arial"/>
                <w:b/>
                <w:bCs/>
                <w:color w:val="000000" w:themeColor="text1"/>
                <w:sz w:val="18"/>
                <w:szCs w:val="18"/>
              </w:rPr>
              <w:t>B</w:t>
            </w:r>
          </w:p>
        </w:tc>
        <w:tc>
          <w:tcPr>
            <w:tcW w:w="1333" w:type="dxa"/>
            <w:tcBorders>
              <w:top w:val="nil"/>
              <w:left w:val="nil"/>
              <w:bottom w:val="nil"/>
              <w:right w:val="nil"/>
            </w:tcBorders>
            <w:shd w:val="clear" w:color="auto" w:fill="auto"/>
            <w:vAlign w:val="center"/>
          </w:tcPr>
          <w:p w14:paraId="10F1A6FD" w14:textId="68DAB1A9" w:rsidR="00525982" w:rsidRPr="00FB41A2" w:rsidRDefault="00525982"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9E660A">
              <w:rPr>
                <w:rFonts w:ascii="Arial" w:hAnsi="Arial" w:cs="Arial"/>
                <w:b/>
                <w:bCs/>
                <w:color w:val="000000" w:themeColor="text1"/>
                <w:sz w:val="18"/>
                <w:szCs w:val="18"/>
              </w:rPr>
              <w:t>3.8</w:t>
            </w:r>
            <w:r w:rsidRPr="00FB41A2">
              <w:rPr>
                <w:rFonts w:ascii="Arial" w:hAnsi="Arial" w:cs="Arial"/>
                <w:b/>
                <w:bCs/>
                <w:color w:val="000000" w:themeColor="text1"/>
                <w:sz w:val="18"/>
                <w:szCs w:val="18"/>
              </w:rPr>
              <w:t>%</w:t>
            </w:r>
          </w:p>
        </w:tc>
        <w:tc>
          <w:tcPr>
            <w:tcW w:w="1333" w:type="dxa"/>
            <w:tcBorders>
              <w:top w:val="nil"/>
              <w:left w:val="nil"/>
              <w:bottom w:val="nil"/>
            </w:tcBorders>
            <w:shd w:val="clear" w:color="auto" w:fill="auto"/>
            <w:vAlign w:val="center"/>
          </w:tcPr>
          <w:p w14:paraId="219FE3BF" w14:textId="53F4B72A" w:rsidR="00525982" w:rsidRPr="00FB41A2" w:rsidRDefault="004B75E4"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9E660A">
              <w:rPr>
                <w:rFonts w:ascii="Arial" w:hAnsi="Arial" w:cs="Arial"/>
                <w:b/>
                <w:bCs/>
                <w:color w:val="000000" w:themeColor="text1"/>
                <w:sz w:val="18"/>
                <w:szCs w:val="18"/>
              </w:rPr>
              <w:t>1.3</w:t>
            </w:r>
            <w:r w:rsidR="00525982" w:rsidRPr="00FB41A2">
              <w:rPr>
                <w:rFonts w:ascii="Arial" w:hAnsi="Arial" w:cs="Arial"/>
                <w:b/>
                <w:bCs/>
                <w:color w:val="000000" w:themeColor="text1"/>
                <w:sz w:val="18"/>
                <w:szCs w:val="18"/>
              </w:rPr>
              <w:t>%</w:t>
            </w:r>
          </w:p>
        </w:tc>
      </w:tr>
      <w:tr w:rsidR="00A26087" w:rsidRPr="002A3B9B" w14:paraId="5325D920"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658F2C2D" w:rsidR="00A26087" w:rsidRPr="00FB41A2" w:rsidRDefault="00A26087"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129E1">
              <w:rPr>
                <w:rFonts w:ascii="Arial" w:hAnsi="Arial" w:cs="Arial"/>
                <w:color w:val="000000" w:themeColor="text1"/>
                <w:sz w:val="18"/>
                <w:szCs w:val="18"/>
              </w:rPr>
              <w:t>$</w:t>
            </w:r>
            <w:r w:rsidR="00FB3E79">
              <w:rPr>
                <w:rFonts w:ascii="Arial" w:hAnsi="Arial" w:cs="Arial"/>
                <w:color w:val="000000" w:themeColor="text1"/>
                <w:sz w:val="18"/>
                <w:szCs w:val="18"/>
              </w:rPr>
              <w:t>3.8</w:t>
            </w:r>
            <w:r w:rsidRPr="00E129E1">
              <w:rPr>
                <w:rFonts w:ascii="Arial" w:hAnsi="Arial" w:cs="Arial"/>
                <w:color w:val="000000" w:themeColor="text1"/>
                <w:sz w:val="18"/>
                <w:szCs w:val="18"/>
              </w:rPr>
              <w:t>B</w:t>
            </w:r>
          </w:p>
        </w:tc>
        <w:tc>
          <w:tcPr>
            <w:tcW w:w="1075" w:type="dxa"/>
            <w:gridSpan w:val="2"/>
            <w:tcBorders>
              <w:top w:val="nil"/>
              <w:bottom w:val="nil"/>
            </w:tcBorders>
            <w:shd w:val="clear" w:color="auto" w:fill="D9D9D9" w:themeFill="background1" w:themeFillShade="D9"/>
            <w:vAlign w:val="center"/>
          </w:tcPr>
          <w:p w14:paraId="2D628009" w14:textId="1FFDD7B9" w:rsidR="00A26087" w:rsidRPr="00FB41A2" w:rsidRDefault="00A26087"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800CC8">
              <w:rPr>
                <w:rFonts w:ascii="Arial" w:hAnsi="Arial" w:cs="Arial"/>
                <w:color w:val="000000" w:themeColor="text1"/>
                <w:sz w:val="18"/>
                <w:szCs w:val="18"/>
              </w:rPr>
              <w:t>7.</w:t>
            </w:r>
            <w:r w:rsidR="00FB3E79">
              <w:rPr>
                <w:rFonts w:ascii="Arial" w:hAnsi="Arial" w:cs="Arial"/>
                <w:color w:val="000000" w:themeColor="text1"/>
                <w:sz w:val="18"/>
                <w:szCs w:val="18"/>
              </w:rPr>
              <w:t>2</w:t>
            </w:r>
            <w:r w:rsidRPr="00FB41A2">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6D6AAF1" w14:textId="6914E8AA" w:rsidR="00A26087" w:rsidRPr="00FB41A2" w:rsidRDefault="004B75E4"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800CC8">
              <w:rPr>
                <w:rFonts w:ascii="Arial" w:hAnsi="Arial" w:cs="Arial"/>
                <w:color w:val="000000" w:themeColor="text1"/>
                <w:sz w:val="18"/>
                <w:szCs w:val="18"/>
              </w:rPr>
              <w:t>2.</w:t>
            </w:r>
            <w:r w:rsidR="00FB3E79">
              <w:rPr>
                <w:rFonts w:ascii="Arial" w:hAnsi="Arial" w:cs="Arial"/>
                <w:color w:val="000000" w:themeColor="text1"/>
                <w:sz w:val="18"/>
                <w:szCs w:val="18"/>
              </w:rPr>
              <w:t>6</w:t>
            </w:r>
            <w:r w:rsidR="00A26087"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468B8F0" w14:textId="50F6BFEF" w:rsidR="00A26087" w:rsidRPr="00FB41A2" w:rsidRDefault="00A26087" w:rsidP="0031766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beef</w:t>
            </w:r>
          </w:p>
        </w:tc>
        <w:tc>
          <w:tcPr>
            <w:tcW w:w="934" w:type="dxa"/>
            <w:gridSpan w:val="2"/>
            <w:tcBorders>
              <w:top w:val="nil"/>
              <w:bottom w:val="nil"/>
            </w:tcBorders>
            <w:shd w:val="clear" w:color="auto" w:fill="D9D9D9" w:themeFill="background1" w:themeFillShade="D9"/>
            <w:vAlign w:val="center"/>
          </w:tcPr>
          <w:p w14:paraId="208BC3C7" w14:textId="18DEDF1F"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9E660A">
              <w:rPr>
                <w:rFonts w:ascii="Arial" w:hAnsi="Arial" w:cs="Arial"/>
                <w:color w:val="000000" w:themeColor="text1"/>
                <w:sz w:val="18"/>
                <w:szCs w:val="18"/>
              </w:rPr>
              <w:t>37.8</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2CE2750C" w14:textId="216A1AB1"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9E660A">
              <w:rPr>
                <w:rFonts w:ascii="Arial" w:hAnsi="Arial" w:cs="Arial"/>
                <w:color w:val="000000" w:themeColor="text1"/>
                <w:sz w:val="18"/>
                <w:szCs w:val="18"/>
              </w:rPr>
              <w:t>7.0</w:t>
            </w:r>
            <w:r w:rsidRPr="00816DA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06B11957" w14:textId="46CA7024"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4B75E4">
              <w:rPr>
                <w:rFonts w:ascii="Arial" w:hAnsi="Arial" w:cs="Arial"/>
                <w:color w:val="000000" w:themeColor="text1"/>
                <w:sz w:val="18"/>
                <w:szCs w:val="18"/>
              </w:rPr>
              <w:t>0.</w:t>
            </w:r>
            <w:r w:rsidR="009E660A">
              <w:rPr>
                <w:rFonts w:ascii="Arial" w:hAnsi="Arial" w:cs="Arial"/>
                <w:color w:val="000000" w:themeColor="text1"/>
                <w:sz w:val="18"/>
                <w:szCs w:val="18"/>
              </w:rPr>
              <w:t>7</w:t>
            </w:r>
            <w:r w:rsidRPr="00816DA5">
              <w:rPr>
                <w:rFonts w:ascii="Arial" w:hAnsi="Arial" w:cs="Arial"/>
                <w:color w:val="000000" w:themeColor="text1"/>
                <w:sz w:val="18"/>
                <w:szCs w:val="18"/>
              </w:rPr>
              <w:t>%</w:t>
            </w:r>
          </w:p>
        </w:tc>
      </w:tr>
      <w:tr w:rsidR="00A26087" w:rsidRPr="002A3B9B" w14:paraId="290F85FA"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40C53CB0"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129E1">
              <w:rPr>
                <w:rFonts w:ascii="Arial" w:hAnsi="Arial" w:cs="Arial"/>
                <w:color w:val="000000" w:themeColor="text1"/>
                <w:sz w:val="18"/>
                <w:szCs w:val="18"/>
              </w:rPr>
              <w:t>$</w:t>
            </w:r>
            <w:r w:rsidR="00FB3E79">
              <w:rPr>
                <w:rFonts w:ascii="Arial" w:hAnsi="Arial" w:cs="Arial"/>
                <w:color w:val="000000" w:themeColor="text1"/>
                <w:sz w:val="18"/>
                <w:szCs w:val="18"/>
              </w:rPr>
              <w:t>1.9</w:t>
            </w:r>
            <w:r w:rsidRPr="00E129E1">
              <w:rPr>
                <w:rFonts w:ascii="Arial" w:hAnsi="Arial" w:cs="Arial"/>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5B5F3125" w14:textId="109929A3"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B3E79">
              <w:rPr>
                <w:rFonts w:ascii="Arial" w:hAnsi="Arial" w:cs="Arial"/>
                <w:color w:val="000000" w:themeColor="text1"/>
                <w:sz w:val="18"/>
                <w:szCs w:val="18"/>
              </w:rPr>
              <w:t>3.0</w:t>
            </w:r>
            <w:r w:rsidRPr="00270FAB">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6DED3965" w14:textId="2A8B5034"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B3E79">
              <w:rPr>
                <w:rFonts w:ascii="Arial" w:hAnsi="Arial" w:cs="Arial"/>
                <w:color w:val="000000" w:themeColor="text1"/>
                <w:sz w:val="18"/>
                <w:szCs w:val="18"/>
              </w:rPr>
              <w:t>1.7</w:t>
            </w:r>
            <w:r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BFD98B" w14:textId="7192D2A7" w:rsidR="00A26087" w:rsidRPr="00FB41A2" w:rsidRDefault="00A26087" w:rsidP="0031766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chicken</w:t>
            </w:r>
          </w:p>
        </w:tc>
        <w:tc>
          <w:tcPr>
            <w:tcW w:w="934" w:type="dxa"/>
            <w:gridSpan w:val="2"/>
            <w:tcBorders>
              <w:top w:val="nil"/>
              <w:left w:val="nil"/>
              <w:bottom w:val="nil"/>
              <w:right w:val="nil"/>
            </w:tcBorders>
            <w:shd w:val="clear" w:color="auto" w:fill="auto"/>
            <w:vAlign w:val="center"/>
          </w:tcPr>
          <w:p w14:paraId="1B097B18" w14:textId="3E590E0C"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800CC8">
              <w:rPr>
                <w:rFonts w:ascii="Arial" w:hAnsi="Arial" w:cs="Arial"/>
                <w:color w:val="000000" w:themeColor="text1"/>
                <w:sz w:val="18"/>
                <w:szCs w:val="18"/>
              </w:rPr>
              <w:t>18.</w:t>
            </w:r>
            <w:r w:rsidR="009E660A">
              <w:rPr>
                <w:rFonts w:ascii="Arial" w:hAnsi="Arial" w:cs="Arial"/>
                <w:color w:val="000000" w:themeColor="text1"/>
                <w:sz w:val="18"/>
                <w:szCs w:val="18"/>
              </w:rPr>
              <w:t>8</w:t>
            </w:r>
            <w:r>
              <w:rPr>
                <w:rFonts w:ascii="Arial" w:hAnsi="Arial" w:cs="Arial"/>
                <w:color w:val="000000" w:themeColor="text1"/>
                <w:sz w:val="18"/>
                <w:szCs w:val="18"/>
              </w:rPr>
              <w:t>B</w:t>
            </w:r>
          </w:p>
        </w:tc>
        <w:tc>
          <w:tcPr>
            <w:tcW w:w="1333" w:type="dxa"/>
            <w:tcBorders>
              <w:top w:val="nil"/>
              <w:left w:val="nil"/>
              <w:bottom w:val="nil"/>
              <w:right w:val="nil"/>
            </w:tcBorders>
            <w:shd w:val="clear" w:color="auto" w:fill="auto"/>
            <w:vAlign w:val="center"/>
          </w:tcPr>
          <w:p w14:paraId="55C41A24" w14:textId="0D0FF09B"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9E660A">
              <w:rPr>
                <w:rFonts w:ascii="Arial" w:hAnsi="Arial" w:cs="Arial"/>
                <w:color w:val="000000" w:themeColor="text1"/>
                <w:sz w:val="18"/>
                <w:szCs w:val="18"/>
              </w:rPr>
              <w:t>1.0</w:t>
            </w:r>
            <w:r w:rsidRPr="00816DA5">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F2BA96C" w14:textId="647ADE46"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800CC8">
              <w:rPr>
                <w:rFonts w:ascii="Arial" w:hAnsi="Arial" w:cs="Arial"/>
                <w:color w:val="000000" w:themeColor="text1"/>
                <w:sz w:val="18"/>
                <w:szCs w:val="18"/>
              </w:rPr>
              <w:t>3.</w:t>
            </w:r>
            <w:r w:rsidR="009E660A">
              <w:rPr>
                <w:rFonts w:ascii="Arial" w:hAnsi="Arial" w:cs="Arial"/>
                <w:color w:val="000000" w:themeColor="text1"/>
                <w:sz w:val="18"/>
                <w:szCs w:val="18"/>
              </w:rPr>
              <w:t>1</w:t>
            </w:r>
            <w:r w:rsidRPr="00816DA5">
              <w:rPr>
                <w:rFonts w:ascii="Arial" w:hAnsi="Arial" w:cs="Arial"/>
                <w:color w:val="000000" w:themeColor="text1"/>
                <w:sz w:val="18"/>
                <w:szCs w:val="18"/>
              </w:rPr>
              <w:t>%</w:t>
            </w:r>
          </w:p>
        </w:tc>
      </w:tr>
      <w:tr w:rsidR="00A26087" w:rsidRPr="002A3B9B" w14:paraId="2438D659"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64B544CE"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pork</w:t>
            </w:r>
          </w:p>
        </w:tc>
        <w:tc>
          <w:tcPr>
            <w:tcW w:w="990" w:type="dxa"/>
            <w:gridSpan w:val="2"/>
            <w:tcBorders>
              <w:top w:val="nil"/>
              <w:bottom w:val="nil"/>
            </w:tcBorders>
            <w:shd w:val="clear" w:color="auto" w:fill="D9D9D9" w:themeFill="background1" w:themeFillShade="D9"/>
            <w:vAlign w:val="center"/>
          </w:tcPr>
          <w:p w14:paraId="6020F3E9" w14:textId="57310AA5" w:rsidR="00A26087" w:rsidRPr="00FB41A2" w:rsidRDefault="00A26087"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56B66">
              <w:rPr>
                <w:rFonts w:ascii="Arial" w:hAnsi="Arial" w:cs="Arial"/>
                <w:color w:val="000000" w:themeColor="text1"/>
                <w:sz w:val="18"/>
                <w:szCs w:val="18"/>
              </w:rPr>
              <w:t>$</w:t>
            </w:r>
            <w:r w:rsidR="00FB3E79">
              <w:rPr>
                <w:rFonts w:ascii="Arial" w:hAnsi="Arial" w:cs="Arial"/>
                <w:color w:val="000000" w:themeColor="text1"/>
                <w:sz w:val="18"/>
                <w:szCs w:val="18"/>
              </w:rPr>
              <w:t>849</w:t>
            </w:r>
            <w:r w:rsidR="00800CC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3A2AA7" w14:textId="5B0E5617" w:rsidR="00A26087" w:rsidRPr="00FB41A2" w:rsidRDefault="004B75E4"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B3E79">
              <w:rPr>
                <w:rFonts w:ascii="Arial" w:hAnsi="Arial" w:cs="Arial"/>
                <w:color w:val="000000" w:themeColor="text1"/>
                <w:sz w:val="18"/>
                <w:szCs w:val="18"/>
              </w:rPr>
              <w:t>2.3</w:t>
            </w:r>
            <w:r w:rsidR="00A26087" w:rsidRPr="00270FAB">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637DC983" w:rsidR="00A26087" w:rsidRPr="00FB41A2" w:rsidRDefault="00FB3E79"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-3.0</w:t>
            </w:r>
            <w:r w:rsidR="00A26087"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0D22FE7" w14:textId="5B13D9B1" w:rsidR="00A26087" w:rsidRPr="00FB41A2" w:rsidRDefault="00A26087" w:rsidP="0031766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pork</w:t>
            </w:r>
          </w:p>
        </w:tc>
        <w:tc>
          <w:tcPr>
            <w:tcW w:w="934" w:type="dxa"/>
            <w:gridSpan w:val="2"/>
            <w:tcBorders>
              <w:top w:val="nil"/>
              <w:bottom w:val="nil"/>
            </w:tcBorders>
            <w:shd w:val="clear" w:color="auto" w:fill="D9D9D9" w:themeFill="background1" w:themeFillShade="D9"/>
            <w:vAlign w:val="center"/>
          </w:tcPr>
          <w:p w14:paraId="6A84691D" w14:textId="27164384"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800CC8">
              <w:rPr>
                <w:rFonts w:ascii="Arial" w:hAnsi="Arial" w:cs="Arial"/>
                <w:color w:val="000000" w:themeColor="text1"/>
                <w:sz w:val="18"/>
                <w:szCs w:val="18"/>
              </w:rPr>
              <w:t>8.</w:t>
            </w:r>
            <w:r w:rsidR="009E660A">
              <w:rPr>
                <w:rFonts w:ascii="Arial" w:hAnsi="Arial" w:cs="Arial"/>
                <w:color w:val="000000" w:themeColor="text1"/>
                <w:sz w:val="18"/>
                <w:szCs w:val="18"/>
              </w:rPr>
              <w:t>3</w:t>
            </w:r>
            <w:r>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74C16036" w14:textId="419A8C9C" w:rsidR="00A26087" w:rsidRPr="00FB41A2" w:rsidRDefault="004B75E4"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E660A">
              <w:rPr>
                <w:rFonts w:ascii="Arial" w:hAnsi="Arial" w:cs="Arial"/>
                <w:color w:val="000000" w:themeColor="text1"/>
                <w:sz w:val="18"/>
                <w:szCs w:val="18"/>
              </w:rPr>
              <w:t>1.0</w:t>
            </w:r>
            <w:r w:rsidR="00A26087" w:rsidRPr="00816DA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9950049" w14:textId="1C3BBCD4" w:rsidR="00A26087" w:rsidRPr="00FB41A2" w:rsidRDefault="004B75E4"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r w:rsidR="00800CC8">
              <w:rPr>
                <w:rFonts w:ascii="Arial" w:hAnsi="Arial" w:cs="Arial"/>
                <w:color w:val="000000" w:themeColor="text1"/>
                <w:sz w:val="18"/>
                <w:szCs w:val="18"/>
              </w:rPr>
              <w:t>5</w:t>
            </w:r>
            <w:r w:rsidR="00A26087" w:rsidRPr="00816DA5">
              <w:rPr>
                <w:rFonts w:ascii="Arial" w:hAnsi="Arial" w:cs="Arial"/>
                <w:color w:val="000000" w:themeColor="text1"/>
                <w:sz w:val="18"/>
                <w:szCs w:val="18"/>
              </w:rPr>
              <w:t>%</w:t>
            </w:r>
          </w:p>
        </w:tc>
      </w:tr>
      <w:tr w:rsidR="00A26087" w:rsidRPr="002A3B9B" w14:paraId="72538FA9"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1C79B102"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turkey</w:t>
            </w:r>
          </w:p>
        </w:tc>
        <w:tc>
          <w:tcPr>
            <w:tcW w:w="990" w:type="dxa"/>
            <w:gridSpan w:val="2"/>
            <w:tcBorders>
              <w:top w:val="nil"/>
              <w:left w:val="nil"/>
              <w:bottom w:val="nil"/>
              <w:right w:val="nil"/>
            </w:tcBorders>
            <w:shd w:val="clear" w:color="auto" w:fill="auto"/>
            <w:vAlign w:val="center"/>
          </w:tcPr>
          <w:p w14:paraId="6677899D" w14:textId="2D60F531"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56B66">
              <w:rPr>
                <w:rFonts w:ascii="Arial" w:hAnsi="Arial" w:cs="Arial"/>
                <w:color w:val="000000" w:themeColor="text1"/>
                <w:sz w:val="18"/>
                <w:szCs w:val="18"/>
              </w:rPr>
              <w:t>$</w:t>
            </w:r>
            <w:r w:rsidR="00FB3E79">
              <w:rPr>
                <w:rFonts w:ascii="Arial" w:hAnsi="Arial" w:cs="Arial"/>
                <w:color w:val="000000" w:themeColor="text1"/>
                <w:sz w:val="18"/>
                <w:szCs w:val="18"/>
              </w:rPr>
              <w:t>223</w:t>
            </w:r>
            <w:r w:rsidRPr="00056B66">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12E72FD8" w14:textId="458B4213" w:rsidR="00A26087" w:rsidRPr="00FB41A2" w:rsidRDefault="00FB3E79"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+4.5</w:t>
            </w:r>
            <w:r w:rsidR="00A26087" w:rsidRPr="00FB41A2">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4A2322D9" w14:textId="0C718CCA" w:rsidR="00A26087" w:rsidRPr="00FB41A2" w:rsidRDefault="00FB3E79"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+7.4</w:t>
            </w:r>
            <w:r w:rsidR="00A26087"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FCAD35" w14:textId="60E91D91" w:rsidR="00A26087" w:rsidRPr="00FB41A2" w:rsidRDefault="00A26087" w:rsidP="0031766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turkey</w:t>
            </w:r>
          </w:p>
        </w:tc>
        <w:tc>
          <w:tcPr>
            <w:tcW w:w="934" w:type="dxa"/>
            <w:gridSpan w:val="2"/>
            <w:tcBorders>
              <w:top w:val="nil"/>
              <w:left w:val="nil"/>
              <w:bottom w:val="nil"/>
              <w:right w:val="nil"/>
            </w:tcBorders>
            <w:shd w:val="clear" w:color="auto" w:fill="auto"/>
            <w:vAlign w:val="center"/>
          </w:tcPr>
          <w:p w14:paraId="388DA3F2" w14:textId="534B7094"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800CC8">
              <w:rPr>
                <w:rFonts w:ascii="Arial" w:hAnsi="Arial" w:cs="Arial"/>
                <w:color w:val="000000" w:themeColor="text1"/>
                <w:sz w:val="18"/>
                <w:szCs w:val="18"/>
              </w:rPr>
              <w:t>3.3</w:t>
            </w:r>
            <w:r>
              <w:rPr>
                <w:rFonts w:ascii="Arial" w:hAnsi="Arial" w:cs="Arial"/>
                <w:color w:val="000000" w:themeColor="text1"/>
                <w:sz w:val="18"/>
                <w:szCs w:val="18"/>
              </w:rPr>
              <w:t>B</w:t>
            </w:r>
          </w:p>
        </w:tc>
        <w:tc>
          <w:tcPr>
            <w:tcW w:w="1333" w:type="dxa"/>
            <w:tcBorders>
              <w:top w:val="nil"/>
              <w:left w:val="nil"/>
              <w:bottom w:val="nil"/>
              <w:right w:val="nil"/>
            </w:tcBorders>
            <w:shd w:val="clear" w:color="auto" w:fill="auto"/>
            <w:vAlign w:val="center"/>
          </w:tcPr>
          <w:p w14:paraId="2CD73EA7" w14:textId="680F4BF5"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4B75E4">
              <w:rPr>
                <w:rFonts w:ascii="Arial" w:hAnsi="Arial" w:cs="Arial"/>
                <w:color w:val="000000" w:themeColor="text1"/>
                <w:sz w:val="18"/>
                <w:szCs w:val="18"/>
              </w:rPr>
              <w:t>2.</w:t>
            </w:r>
            <w:r w:rsidR="009E660A">
              <w:rPr>
                <w:rFonts w:ascii="Arial" w:hAnsi="Arial" w:cs="Arial"/>
                <w:color w:val="000000" w:themeColor="text1"/>
                <w:sz w:val="18"/>
                <w:szCs w:val="18"/>
              </w:rPr>
              <w:t>4</w:t>
            </w:r>
            <w:r w:rsidRPr="00816DA5">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88B47EF" w14:textId="584C2526"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9E660A">
              <w:rPr>
                <w:rFonts w:ascii="Arial" w:hAnsi="Arial" w:cs="Arial"/>
                <w:color w:val="000000" w:themeColor="text1"/>
                <w:sz w:val="18"/>
                <w:szCs w:val="18"/>
              </w:rPr>
              <w:t>1.0</w:t>
            </w:r>
            <w:r w:rsidRPr="00816DA5">
              <w:rPr>
                <w:rFonts w:ascii="Arial" w:hAnsi="Arial" w:cs="Arial"/>
                <w:color w:val="000000" w:themeColor="text1"/>
                <w:sz w:val="18"/>
                <w:szCs w:val="18"/>
              </w:rPr>
              <w:t>%</w:t>
            </w:r>
          </w:p>
        </w:tc>
      </w:tr>
      <w:tr w:rsidR="00A26087" w:rsidRPr="002A3B9B" w14:paraId="23202EFB"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vAlign w:val="center"/>
          </w:tcPr>
          <w:p w14:paraId="4C81F97C" w14:textId="0E0C48CE" w:rsidR="00A26087" w:rsidRPr="00FB41A2" w:rsidRDefault="00A26087"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56B66">
              <w:rPr>
                <w:rFonts w:ascii="Arial" w:hAnsi="Arial" w:cs="Arial"/>
                <w:color w:val="000000" w:themeColor="text1"/>
                <w:sz w:val="18"/>
                <w:szCs w:val="18"/>
              </w:rPr>
              <w:t>$</w:t>
            </w:r>
            <w:r w:rsidR="00FB3E79">
              <w:rPr>
                <w:rFonts w:ascii="Arial" w:hAnsi="Arial" w:cs="Arial"/>
                <w:color w:val="000000" w:themeColor="text1"/>
                <w:sz w:val="18"/>
                <w:szCs w:val="18"/>
              </w:rPr>
              <w:t>79</w:t>
            </w:r>
            <w:r w:rsidRPr="00056B66">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314CEE27" w14:textId="76AA546B" w:rsidR="00A26087" w:rsidRPr="00FB41A2" w:rsidRDefault="00FB3E79"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+6.4</w:t>
            </w:r>
            <w:r w:rsidR="00A26087" w:rsidRPr="00FB41A2">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6F591B6B" w14:textId="24F93E3C" w:rsidR="00A26087" w:rsidRPr="00FB41A2" w:rsidRDefault="00FB3E79" w:rsidP="00A26087">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+17.2</w:t>
            </w:r>
            <w:r w:rsidR="00A26087"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87DBC20" w14:textId="71D34C2D" w:rsidR="00A26087" w:rsidRPr="00FB41A2" w:rsidRDefault="00A26087" w:rsidP="0031766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lamb</w:t>
            </w:r>
          </w:p>
        </w:tc>
        <w:tc>
          <w:tcPr>
            <w:tcW w:w="934" w:type="dxa"/>
            <w:gridSpan w:val="2"/>
            <w:tcBorders>
              <w:top w:val="nil"/>
              <w:bottom w:val="nil"/>
            </w:tcBorders>
            <w:shd w:val="clear" w:color="auto" w:fill="D9D9D9" w:themeFill="background1" w:themeFillShade="D9"/>
            <w:vAlign w:val="center"/>
          </w:tcPr>
          <w:p w14:paraId="1AA6F2F7" w14:textId="000D71E8"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800CC8">
              <w:rPr>
                <w:rFonts w:ascii="Arial" w:hAnsi="Arial" w:cs="Arial"/>
                <w:color w:val="000000" w:themeColor="text1"/>
                <w:sz w:val="18"/>
                <w:szCs w:val="18"/>
              </w:rPr>
              <w:t>8</w:t>
            </w:r>
            <w:r w:rsidR="009E660A">
              <w:rPr>
                <w:rFonts w:ascii="Arial" w:hAnsi="Arial" w:cs="Arial"/>
                <w:color w:val="000000" w:themeColor="text1"/>
                <w:sz w:val="18"/>
                <w:szCs w:val="18"/>
              </w:rPr>
              <w:t>56</w:t>
            </w:r>
            <w:r w:rsidRPr="00081ACD">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vAlign w:val="center"/>
          </w:tcPr>
          <w:p w14:paraId="11C3B152" w14:textId="7CFD42CC" w:rsidR="00A26087" w:rsidRPr="00FB41A2" w:rsidRDefault="004B75E4"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E660A">
              <w:rPr>
                <w:rFonts w:ascii="Arial" w:hAnsi="Arial" w:cs="Arial"/>
                <w:color w:val="000000" w:themeColor="text1"/>
                <w:sz w:val="18"/>
                <w:szCs w:val="18"/>
              </w:rPr>
              <w:t>0.3</w:t>
            </w:r>
            <w:r w:rsidR="00A26087" w:rsidRPr="00816DA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1B764420" w14:textId="1B206244" w:rsidR="00A26087" w:rsidRPr="00FB41A2" w:rsidRDefault="00A26087"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9E660A">
              <w:rPr>
                <w:rFonts w:ascii="Arial" w:hAnsi="Arial" w:cs="Arial"/>
                <w:color w:val="000000" w:themeColor="text1"/>
                <w:sz w:val="18"/>
                <w:szCs w:val="18"/>
              </w:rPr>
              <w:t>10.6</w:t>
            </w:r>
            <w:r w:rsidRPr="00816DA5">
              <w:rPr>
                <w:rFonts w:ascii="Arial" w:hAnsi="Arial" w:cs="Arial"/>
                <w:color w:val="000000" w:themeColor="text1"/>
                <w:sz w:val="18"/>
                <w:szCs w:val="18"/>
              </w:rPr>
              <w:t>%</w:t>
            </w:r>
          </w:p>
        </w:tc>
      </w:tr>
      <w:tr w:rsidR="00A26087" w:rsidRPr="002A3B9B" w14:paraId="0E93CA3A"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A26087" w:rsidRPr="00FB41A2" w:rsidRDefault="00A26087" w:rsidP="00A26087">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vAlign w:val="center"/>
          </w:tcPr>
          <w:p w14:paraId="211C1E4E" w14:textId="1D0B76B7"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B3E79">
              <w:rPr>
                <w:rFonts w:ascii="Arial" w:hAnsi="Arial" w:cs="Arial"/>
                <w:color w:val="000000" w:themeColor="text1"/>
                <w:sz w:val="18"/>
                <w:szCs w:val="18"/>
              </w:rPr>
              <w:t>20</w:t>
            </w:r>
            <w:r w:rsidRPr="00056B66">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4EC34FF5" w14:textId="1EC6B54D"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w:t>
            </w:r>
            <w:r w:rsidR="00FB3E79">
              <w:rPr>
                <w:rFonts w:ascii="Arial" w:hAnsi="Arial" w:cs="Arial"/>
                <w:color w:val="000000" w:themeColor="text1"/>
                <w:sz w:val="18"/>
                <w:szCs w:val="18"/>
              </w:rPr>
              <w:t>17.6</w:t>
            </w:r>
            <w:r w:rsidRPr="00FB41A2">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35DF37A1" w14:textId="04B6E152" w:rsidR="00A26087" w:rsidRPr="00FB41A2" w:rsidRDefault="00A26087" w:rsidP="00A2608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FB3E79">
              <w:rPr>
                <w:rFonts w:ascii="Arial" w:hAnsi="Arial" w:cs="Arial"/>
                <w:color w:val="000000" w:themeColor="text1"/>
                <w:sz w:val="18"/>
                <w:szCs w:val="18"/>
              </w:rPr>
              <w:t>14.4</w:t>
            </w:r>
            <w:r w:rsidRPr="00E7616F">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F65FC38" w14:textId="7028D4B1" w:rsidR="00A26087" w:rsidRPr="00FB41A2" w:rsidRDefault="00A26087" w:rsidP="0031766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exotic</w:t>
            </w:r>
          </w:p>
        </w:tc>
        <w:tc>
          <w:tcPr>
            <w:tcW w:w="934" w:type="dxa"/>
            <w:gridSpan w:val="2"/>
            <w:tcBorders>
              <w:top w:val="nil"/>
              <w:left w:val="nil"/>
              <w:bottom w:val="nil"/>
              <w:right w:val="nil"/>
            </w:tcBorders>
            <w:shd w:val="clear" w:color="auto" w:fill="auto"/>
            <w:vAlign w:val="center"/>
          </w:tcPr>
          <w:p w14:paraId="1689DD4B" w14:textId="7ED50713"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81ACD">
              <w:rPr>
                <w:rFonts w:ascii="Arial" w:hAnsi="Arial" w:cs="Arial"/>
                <w:color w:val="000000" w:themeColor="text1"/>
                <w:sz w:val="18"/>
                <w:szCs w:val="18"/>
              </w:rPr>
              <w:t>$</w:t>
            </w:r>
            <w:r w:rsidR="009E660A">
              <w:rPr>
                <w:rFonts w:ascii="Arial" w:hAnsi="Arial" w:cs="Arial"/>
                <w:color w:val="000000" w:themeColor="text1"/>
                <w:sz w:val="18"/>
                <w:szCs w:val="18"/>
              </w:rPr>
              <w:t>218</w:t>
            </w:r>
            <w:r w:rsidRPr="00081ACD">
              <w:rPr>
                <w:rFonts w:ascii="Arial" w:hAnsi="Arial" w:cs="Arial"/>
                <w:color w:val="000000" w:themeColor="text1"/>
                <w:sz w:val="18"/>
                <w:szCs w:val="18"/>
              </w:rPr>
              <w:t>M</w:t>
            </w:r>
          </w:p>
        </w:tc>
        <w:tc>
          <w:tcPr>
            <w:tcW w:w="1333" w:type="dxa"/>
            <w:tcBorders>
              <w:top w:val="nil"/>
              <w:left w:val="nil"/>
              <w:bottom w:val="nil"/>
              <w:right w:val="nil"/>
            </w:tcBorders>
            <w:shd w:val="clear" w:color="auto" w:fill="auto"/>
            <w:vAlign w:val="center"/>
          </w:tcPr>
          <w:p w14:paraId="41FB3DC5" w14:textId="3DF65DB3"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9E660A">
              <w:rPr>
                <w:rFonts w:ascii="Arial" w:hAnsi="Arial" w:cs="Arial"/>
                <w:color w:val="000000" w:themeColor="text1"/>
                <w:sz w:val="18"/>
                <w:szCs w:val="18"/>
              </w:rPr>
              <w:t>11.7</w:t>
            </w:r>
            <w:r w:rsidRPr="00816DA5">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E7D78E5" w14:textId="46408DF4" w:rsidR="00A26087" w:rsidRPr="00FB41A2" w:rsidRDefault="00A26087"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6DA5">
              <w:rPr>
                <w:rFonts w:ascii="Arial" w:hAnsi="Arial" w:cs="Arial"/>
                <w:color w:val="000000" w:themeColor="text1"/>
                <w:sz w:val="18"/>
                <w:szCs w:val="18"/>
              </w:rPr>
              <w:t>+</w:t>
            </w:r>
            <w:r w:rsidR="00800CC8">
              <w:rPr>
                <w:rFonts w:ascii="Arial" w:hAnsi="Arial" w:cs="Arial"/>
                <w:color w:val="000000" w:themeColor="text1"/>
                <w:sz w:val="18"/>
                <w:szCs w:val="18"/>
              </w:rPr>
              <w:t>5.</w:t>
            </w:r>
            <w:r w:rsidR="009E660A">
              <w:rPr>
                <w:rFonts w:ascii="Arial" w:hAnsi="Arial" w:cs="Arial"/>
                <w:color w:val="000000" w:themeColor="text1"/>
                <w:sz w:val="18"/>
                <w:szCs w:val="18"/>
              </w:rPr>
              <w:t>3</w:t>
            </w:r>
            <w:r w:rsidRPr="00816DA5">
              <w:rPr>
                <w:rFonts w:ascii="Arial" w:hAnsi="Arial" w:cs="Arial"/>
                <w:color w:val="000000" w:themeColor="text1"/>
                <w:sz w:val="18"/>
                <w:szCs w:val="18"/>
              </w:rPr>
              <w:t>%</w:t>
            </w:r>
          </w:p>
        </w:tc>
      </w:tr>
      <w:tr w:rsidR="001B4A16" w:rsidRPr="002A3B9B" w14:paraId="7076EB95"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1B4A16" w:rsidRPr="00FB41A2" w:rsidRDefault="001B4A16" w:rsidP="001B4A16">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vAlign w:val="center"/>
          </w:tcPr>
          <w:p w14:paraId="64354BA8" w14:textId="3D83EA5C" w:rsidR="001B4A16" w:rsidRPr="00FB41A2" w:rsidRDefault="001B4A16" w:rsidP="001B4A1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56B66">
              <w:rPr>
                <w:rFonts w:ascii="Arial" w:hAnsi="Arial" w:cs="Arial"/>
                <w:color w:val="000000" w:themeColor="text1"/>
                <w:sz w:val="18"/>
                <w:szCs w:val="18"/>
              </w:rPr>
              <w:t>$</w:t>
            </w:r>
            <w:r w:rsidR="00FB3E79">
              <w:rPr>
                <w:rFonts w:ascii="Arial" w:hAnsi="Arial" w:cs="Arial"/>
                <w:color w:val="000000" w:themeColor="text1"/>
                <w:sz w:val="18"/>
                <w:szCs w:val="18"/>
              </w:rPr>
              <w:t>4</w:t>
            </w:r>
            <w:r w:rsidRPr="00056B66">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A45E38" w14:textId="74979C0E" w:rsidR="001B4A16" w:rsidRPr="00FB41A2" w:rsidRDefault="001B4A16" w:rsidP="001B4A1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w:t>
            </w:r>
            <w:r w:rsidR="00FB3E79">
              <w:rPr>
                <w:rFonts w:ascii="Arial" w:hAnsi="Arial" w:cs="Arial"/>
                <w:color w:val="000000" w:themeColor="text1"/>
                <w:sz w:val="18"/>
                <w:szCs w:val="18"/>
              </w:rPr>
              <w:t>5.0</w:t>
            </w:r>
            <w:r w:rsidRPr="00FB41A2">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4832D569" w:rsidR="001B4A16" w:rsidRPr="00FB41A2" w:rsidRDefault="001B4A16" w:rsidP="001B4A1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46A87">
              <w:rPr>
                <w:rFonts w:ascii="Arial" w:hAnsi="Arial" w:cs="Arial"/>
                <w:color w:val="000000" w:themeColor="text1"/>
                <w:sz w:val="18"/>
                <w:szCs w:val="18"/>
              </w:rPr>
              <w:t>-</w:t>
            </w:r>
            <w:r w:rsidR="00FB3E79">
              <w:rPr>
                <w:rFonts w:ascii="Arial" w:hAnsi="Arial" w:cs="Arial"/>
                <w:color w:val="000000" w:themeColor="text1"/>
                <w:sz w:val="18"/>
                <w:szCs w:val="18"/>
              </w:rPr>
              <w:t>5</w:t>
            </w:r>
            <w:r w:rsidR="004B75E4">
              <w:rPr>
                <w:rFonts w:ascii="Arial" w:hAnsi="Arial" w:cs="Arial"/>
                <w:color w:val="000000" w:themeColor="text1"/>
                <w:sz w:val="18"/>
                <w:szCs w:val="18"/>
              </w:rPr>
              <w:t>.</w:t>
            </w:r>
            <w:r w:rsidR="00800CC8">
              <w:rPr>
                <w:rFonts w:ascii="Arial" w:hAnsi="Arial" w:cs="Arial"/>
                <w:color w:val="000000" w:themeColor="text1"/>
                <w:sz w:val="18"/>
                <w:szCs w:val="18"/>
              </w:rPr>
              <w:t>0</w:t>
            </w:r>
            <w:r w:rsidRPr="00546A87">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D2A7A82" w14:textId="333513C0" w:rsidR="001B4A16" w:rsidRPr="00FB41A2" w:rsidRDefault="001B4A16" w:rsidP="0031766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Veal</w:t>
            </w:r>
          </w:p>
        </w:tc>
        <w:tc>
          <w:tcPr>
            <w:tcW w:w="934" w:type="dxa"/>
            <w:gridSpan w:val="2"/>
            <w:tcBorders>
              <w:top w:val="nil"/>
              <w:bottom w:val="nil"/>
            </w:tcBorders>
            <w:shd w:val="clear" w:color="auto" w:fill="D9D9D9" w:themeFill="background1" w:themeFillShade="D9"/>
            <w:vAlign w:val="center"/>
          </w:tcPr>
          <w:p w14:paraId="01AA82BB" w14:textId="0CA55EE8" w:rsidR="001B4A16" w:rsidRPr="00FB41A2" w:rsidRDefault="001B4A16"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B3D74">
              <w:rPr>
                <w:rFonts w:ascii="Arial" w:hAnsi="Arial" w:cs="Arial"/>
                <w:color w:val="000000" w:themeColor="text1"/>
                <w:sz w:val="18"/>
                <w:szCs w:val="18"/>
              </w:rPr>
              <w:t>$</w:t>
            </w:r>
            <w:r w:rsidR="009E660A">
              <w:rPr>
                <w:rFonts w:ascii="Arial" w:hAnsi="Arial" w:cs="Arial"/>
                <w:color w:val="000000" w:themeColor="text1"/>
                <w:sz w:val="18"/>
                <w:szCs w:val="18"/>
              </w:rPr>
              <w:t>44</w:t>
            </w:r>
            <w:r w:rsidRPr="007B3D74">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vAlign w:val="center"/>
          </w:tcPr>
          <w:p w14:paraId="0565E793" w14:textId="7A3DEAE0" w:rsidR="001B4A16" w:rsidRPr="00FB41A2" w:rsidRDefault="004B75E4"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00CC8">
              <w:rPr>
                <w:rFonts w:ascii="Arial" w:hAnsi="Arial" w:cs="Arial"/>
                <w:color w:val="000000" w:themeColor="text1"/>
                <w:sz w:val="18"/>
                <w:szCs w:val="18"/>
              </w:rPr>
              <w:t>11</w:t>
            </w:r>
            <w:r w:rsidR="009E660A">
              <w:rPr>
                <w:rFonts w:ascii="Arial" w:hAnsi="Arial" w:cs="Arial"/>
                <w:color w:val="000000" w:themeColor="text1"/>
                <w:sz w:val="18"/>
                <w:szCs w:val="18"/>
              </w:rPr>
              <w:t>.2</w:t>
            </w:r>
            <w:r w:rsidR="001B4A16" w:rsidRPr="00816DA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171A941" w14:textId="28BC2011" w:rsidR="001B4A16" w:rsidRPr="00FB41A2" w:rsidRDefault="004B75E4"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-9.</w:t>
            </w:r>
            <w:r w:rsidR="009E660A">
              <w:rPr>
                <w:rFonts w:ascii="Arial" w:hAnsi="Arial" w:cs="Arial"/>
                <w:color w:val="000000" w:themeColor="text1"/>
                <w:sz w:val="18"/>
                <w:szCs w:val="18"/>
              </w:rPr>
              <w:t>5</w:t>
            </w:r>
            <w:r w:rsidR="001B4A16" w:rsidRPr="00816DA5">
              <w:rPr>
                <w:rFonts w:ascii="Arial" w:hAnsi="Arial" w:cs="Arial"/>
                <w:color w:val="000000" w:themeColor="text1"/>
                <w:sz w:val="18"/>
                <w:szCs w:val="18"/>
              </w:rPr>
              <w:t>%</w:t>
            </w:r>
          </w:p>
        </w:tc>
      </w:tr>
      <w:bookmarkEnd w:id="7"/>
    </w:tbl>
    <w:p w14:paraId="2031E023" w14:textId="2AE135AC" w:rsidR="005E4F84" w:rsidRPr="002E1C0B" w:rsidRDefault="005E4F84" w:rsidP="00525982">
      <w:pPr>
        <w:pStyle w:val="NoSpacing"/>
        <w:rPr>
          <w:rFonts w:ascii="Arial" w:hAnsi="Arial" w:cs="Arial"/>
          <w:sz w:val="6"/>
          <w:szCs w:val="10"/>
        </w:rPr>
      </w:pPr>
    </w:p>
    <w:p w14:paraId="2B1AD210" w14:textId="217422B6" w:rsidR="00523954" w:rsidRDefault="005E4F84" w:rsidP="005E4F84">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bookmarkEnd w:id="6"/>
    <w:p w14:paraId="18C20B79" w14:textId="60F4B9BF" w:rsidR="00523954" w:rsidRDefault="00523954" w:rsidP="00E57D76">
      <w:pPr>
        <w:pStyle w:val="NoSpacing"/>
        <w:rPr>
          <w:rFonts w:ascii="Arial" w:hAnsi="Arial" w:cs="Arial"/>
          <w:sz w:val="20"/>
          <w:szCs w:val="20"/>
        </w:rPr>
      </w:pPr>
    </w:p>
    <w:p w14:paraId="4F9768B6" w14:textId="5426F35B" w:rsidR="00E57D76" w:rsidRPr="006879B2" w:rsidRDefault="00E57D76" w:rsidP="00E57D76">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10CE2EC2" w14:textId="22A7DB08" w:rsidR="00EF5381" w:rsidRDefault="00176974" w:rsidP="00FF790A">
      <w:pPr>
        <w:pStyle w:val="NoSpacing"/>
        <w:rPr>
          <w:rFonts w:ascii="Arial" w:hAnsi="Arial" w:cs="Arial"/>
          <w:sz w:val="20"/>
          <w:szCs w:val="20"/>
        </w:rPr>
      </w:pPr>
      <w:r>
        <w:rPr>
          <w:rFonts w:ascii="Arial" w:hAnsi="Arial" w:cs="Arial"/>
          <w:sz w:val="20"/>
          <w:szCs w:val="20"/>
        </w:rPr>
        <w:t xml:space="preserve">Processed meat overall experienced declines in both dollars and pounds in May, however, some items continued to do well, including dinner and breakfast sausage, smoked ham and processed chicken. In the full-year view, pounds are tracking 1% behind year-ago levels, with an above-average performance for bacon, dinner and breakfast sausage. </w:t>
      </w:r>
    </w:p>
    <w:p w14:paraId="1C8A924F" w14:textId="77777777" w:rsidR="00EF5381" w:rsidRDefault="00EF5381">
      <w:pPr>
        <w:rPr>
          <w:rFonts w:ascii="Arial" w:hAnsi="Arial" w:cs="Arial"/>
          <w:sz w:val="20"/>
          <w:szCs w:val="20"/>
        </w:rPr>
      </w:pPr>
      <w:r>
        <w:rPr>
          <w:rFonts w:ascii="Arial" w:hAnsi="Arial" w:cs="Arial"/>
          <w:sz w:val="20"/>
          <w:szCs w:val="20"/>
        </w:rPr>
        <w:br w:type="page"/>
      </w:r>
    </w:p>
    <w:p w14:paraId="30A77107" w14:textId="77777777" w:rsidR="00A77F5D" w:rsidRDefault="00A77F5D" w:rsidP="00FF790A">
      <w:pPr>
        <w:pStyle w:val="NoSpacing"/>
        <w:rPr>
          <w:rFonts w:ascii="Arial" w:hAnsi="Arial" w:cs="Arial"/>
          <w:sz w:val="20"/>
          <w:szCs w:val="20"/>
        </w:rPr>
      </w:pPr>
    </w:p>
    <w:p w14:paraId="10D7BF6A" w14:textId="77777777" w:rsidR="00525982" w:rsidRDefault="00525982" w:rsidP="00FF790A">
      <w:pPr>
        <w:pStyle w:val="NoSpacing"/>
        <w:rPr>
          <w:rFonts w:ascii="Arial" w:hAnsi="Arial" w:cs="Arial"/>
          <w:sz w:val="20"/>
          <w:szCs w:val="20"/>
        </w:rPr>
      </w:pPr>
    </w:p>
    <w:tbl>
      <w:tblPr>
        <w:tblStyle w:val="LightShading-Accent5"/>
        <w:tblW w:w="10535" w:type="dxa"/>
        <w:tblLayout w:type="fixed"/>
        <w:tblLook w:val="04A0" w:firstRow="1" w:lastRow="0" w:firstColumn="1" w:lastColumn="0" w:noHBand="0" w:noVBand="1"/>
      </w:tblPr>
      <w:tblGrid>
        <w:gridCol w:w="1979"/>
        <w:gridCol w:w="995"/>
        <w:gridCol w:w="712"/>
        <w:gridCol w:w="373"/>
        <w:gridCol w:w="1147"/>
        <w:gridCol w:w="1833"/>
        <w:gridCol w:w="73"/>
        <w:gridCol w:w="990"/>
        <w:gridCol w:w="1078"/>
        <w:gridCol w:w="1355"/>
      </w:tblGrid>
      <w:tr w:rsidR="007E7040" w:rsidRPr="0003007F" w14:paraId="2B0189C6" w14:textId="77777777" w:rsidTr="000B1DF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13C124A6" w14:textId="77777777" w:rsidR="007E7040" w:rsidRPr="00AB1306" w:rsidRDefault="007E7040" w:rsidP="007E7040">
            <w:pPr>
              <w:pStyle w:val="NoSpacing"/>
              <w:rPr>
                <w:rFonts w:ascii="Arial" w:hAnsi="Arial" w:cs="Arial"/>
                <w:color w:val="FFFFFF" w:themeColor="background1"/>
                <w:sz w:val="18"/>
                <w:szCs w:val="18"/>
              </w:rPr>
            </w:pPr>
          </w:p>
        </w:tc>
        <w:tc>
          <w:tcPr>
            <w:tcW w:w="1707" w:type="dxa"/>
            <w:gridSpan w:val="2"/>
            <w:tcBorders>
              <w:top w:val="nil"/>
              <w:bottom w:val="nil"/>
            </w:tcBorders>
            <w:shd w:val="clear" w:color="auto" w:fill="17365D" w:themeFill="text2" w:themeFillShade="BF"/>
          </w:tcPr>
          <w:p w14:paraId="73A79EA3" w14:textId="15955AF6" w:rsidR="007E7040" w:rsidRPr="00AB1306" w:rsidRDefault="007E7040" w:rsidP="007E7040">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140238">
              <w:rPr>
                <w:rFonts w:ascii="Arial" w:hAnsi="Arial" w:cs="Arial"/>
                <w:color w:val="FFFFFF" w:themeColor="background1"/>
                <w:sz w:val="18"/>
                <w:szCs w:val="18"/>
              </w:rPr>
              <w:t xml:space="preserve">May </w:t>
            </w:r>
            <w:r w:rsidR="001F639F">
              <w:rPr>
                <w:rFonts w:ascii="Arial" w:hAnsi="Arial" w:cs="Arial"/>
                <w:color w:val="FFFFFF" w:themeColor="background1"/>
                <w:sz w:val="18"/>
                <w:szCs w:val="18"/>
              </w:rPr>
              <w:t>2024</w:t>
            </w:r>
          </w:p>
        </w:tc>
        <w:tc>
          <w:tcPr>
            <w:tcW w:w="3353" w:type="dxa"/>
            <w:gridSpan w:val="3"/>
            <w:tcBorders>
              <w:top w:val="nil"/>
              <w:bottom w:val="nil"/>
            </w:tcBorders>
            <w:shd w:val="clear" w:color="auto" w:fill="17365D" w:themeFill="text2" w:themeFillShade="BF"/>
          </w:tcPr>
          <w:p w14:paraId="007DC51C" w14:textId="77777777" w:rsidR="007E7040" w:rsidRPr="00F515F4" w:rsidRDefault="007E7040"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6" w:type="dxa"/>
            <w:gridSpan w:val="4"/>
            <w:tcBorders>
              <w:top w:val="nil"/>
              <w:bottom w:val="nil"/>
            </w:tcBorders>
            <w:shd w:val="clear" w:color="auto" w:fill="17365D" w:themeFill="text2" w:themeFillShade="BF"/>
          </w:tcPr>
          <w:p w14:paraId="73FF7A3E" w14:textId="2B42142F" w:rsidR="007E7040" w:rsidRPr="0003007F" w:rsidRDefault="007E63BC"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ending </w:t>
            </w:r>
            <w:r w:rsidR="00140238">
              <w:rPr>
                <w:rFonts w:ascii="Arial" w:hAnsi="Arial" w:cs="Arial"/>
                <w:color w:val="FFFFFF" w:themeColor="background1"/>
                <w:sz w:val="18"/>
                <w:szCs w:val="18"/>
              </w:rPr>
              <w:t>6</w:t>
            </w:r>
            <w:r w:rsidR="00922058">
              <w:rPr>
                <w:rFonts w:ascii="Arial" w:hAnsi="Arial" w:cs="Arial"/>
                <w:color w:val="FFFFFF" w:themeColor="background1"/>
                <w:sz w:val="18"/>
                <w:szCs w:val="18"/>
              </w:rPr>
              <w:t>/</w:t>
            </w:r>
            <w:r w:rsidR="00800CC8">
              <w:rPr>
                <w:rFonts w:ascii="Arial" w:hAnsi="Arial" w:cs="Arial"/>
                <w:color w:val="FFFFFF" w:themeColor="background1"/>
                <w:sz w:val="18"/>
                <w:szCs w:val="18"/>
              </w:rPr>
              <w:t>2</w:t>
            </w:r>
            <w:r>
              <w:rPr>
                <w:rFonts w:ascii="Arial" w:hAnsi="Arial" w:cs="Arial"/>
                <w:color w:val="FFFFFF" w:themeColor="background1"/>
                <w:sz w:val="18"/>
                <w:szCs w:val="18"/>
              </w:rPr>
              <w:t>/2024</w:t>
            </w:r>
          </w:p>
        </w:tc>
      </w:tr>
      <w:tr w:rsidR="00525982" w:rsidRPr="002A3B9B" w14:paraId="0246F48C" w14:textId="77777777" w:rsidTr="000C24CB">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50F297F"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61B7F2A8"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85" w:type="dxa"/>
            <w:gridSpan w:val="2"/>
            <w:tcBorders>
              <w:top w:val="nil"/>
              <w:bottom w:val="nil"/>
            </w:tcBorders>
            <w:shd w:val="clear" w:color="auto" w:fill="17365D" w:themeFill="text2" w:themeFillShade="BF"/>
          </w:tcPr>
          <w:p w14:paraId="68E50B3E"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147" w:type="dxa"/>
            <w:tcBorders>
              <w:top w:val="nil"/>
              <w:bottom w:val="nil"/>
            </w:tcBorders>
            <w:shd w:val="clear" w:color="auto" w:fill="17365D" w:themeFill="text2" w:themeFillShade="BF"/>
          </w:tcPr>
          <w:p w14:paraId="35ED3F29" w14:textId="77777777" w:rsidR="00525982" w:rsidRPr="002A3B9B" w:rsidRDefault="00525982" w:rsidP="000C24C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906" w:type="dxa"/>
            <w:gridSpan w:val="2"/>
            <w:tcBorders>
              <w:top w:val="nil"/>
              <w:bottom w:val="nil"/>
            </w:tcBorders>
            <w:shd w:val="clear" w:color="auto" w:fill="17365D" w:themeFill="text2" w:themeFillShade="BF"/>
          </w:tcPr>
          <w:p w14:paraId="699CE87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tcPr>
          <w:p w14:paraId="438F6F5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70AECFA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7D60B685"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B71DCA" w:rsidRPr="00525982" w14:paraId="5F49FDDC" w14:textId="77777777" w:rsidTr="00FC39CD">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77204572" w14:textId="5BD73745" w:rsidR="00B71DCA" w:rsidRPr="00FB41A2" w:rsidRDefault="00B71DCA" w:rsidP="00B71DCA">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2C151529" w14:textId="48411F87" w:rsidR="00B71DCA" w:rsidRPr="00FB41A2" w:rsidRDefault="00B71DCA"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174C38">
              <w:rPr>
                <w:rFonts w:ascii="Arial" w:hAnsi="Arial" w:cs="Arial"/>
                <w:b/>
                <w:bCs/>
                <w:color w:val="000000" w:themeColor="text1"/>
                <w:sz w:val="18"/>
                <w:szCs w:val="18"/>
              </w:rPr>
              <w:t>3.0</w:t>
            </w:r>
            <w:r w:rsidRPr="00FB41A2">
              <w:rPr>
                <w:rFonts w:ascii="Arial" w:hAnsi="Arial" w:cs="Arial"/>
                <w:b/>
                <w:bCs/>
                <w:color w:val="000000" w:themeColor="text1"/>
                <w:sz w:val="18"/>
                <w:szCs w:val="18"/>
              </w:rPr>
              <w:t>B</w:t>
            </w:r>
          </w:p>
        </w:tc>
        <w:tc>
          <w:tcPr>
            <w:tcW w:w="1085" w:type="dxa"/>
            <w:gridSpan w:val="2"/>
            <w:tcBorders>
              <w:top w:val="nil"/>
              <w:left w:val="nil"/>
              <w:bottom w:val="nil"/>
              <w:right w:val="nil"/>
            </w:tcBorders>
            <w:vAlign w:val="center"/>
          </w:tcPr>
          <w:p w14:paraId="3FD9A248" w14:textId="2F46C219" w:rsidR="00B71DCA" w:rsidRPr="00FB41A2" w:rsidRDefault="00997B03"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174C38">
              <w:rPr>
                <w:rFonts w:ascii="Arial" w:hAnsi="Arial" w:cs="Arial"/>
                <w:b/>
                <w:bCs/>
                <w:color w:val="000000" w:themeColor="text1"/>
                <w:sz w:val="18"/>
                <w:szCs w:val="18"/>
              </w:rPr>
              <w:t>0.6</w:t>
            </w:r>
            <w:r w:rsidR="00B71DCA" w:rsidRPr="00FB41A2">
              <w:rPr>
                <w:rFonts w:ascii="Arial" w:hAnsi="Arial" w:cs="Arial"/>
                <w:b/>
                <w:bCs/>
                <w:color w:val="000000" w:themeColor="text1"/>
                <w:sz w:val="18"/>
                <w:szCs w:val="18"/>
              </w:rPr>
              <w:t>%</w:t>
            </w:r>
          </w:p>
        </w:tc>
        <w:tc>
          <w:tcPr>
            <w:tcW w:w="1147" w:type="dxa"/>
            <w:tcBorders>
              <w:top w:val="nil"/>
              <w:left w:val="nil"/>
              <w:bottom w:val="nil"/>
              <w:right w:val="single" w:sz="4" w:space="0" w:color="31849B" w:themeColor="accent5" w:themeShade="BF"/>
            </w:tcBorders>
            <w:vAlign w:val="center"/>
          </w:tcPr>
          <w:p w14:paraId="1B337C93" w14:textId="63B61508" w:rsidR="00B71DCA" w:rsidRPr="00FB41A2" w:rsidRDefault="00997B03"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174C38">
              <w:rPr>
                <w:rFonts w:ascii="Arial" w:hAnsi="Arial" w:cs="Arial"/>
                <w:b/>
                <w:bCs/>
                <w:color w:val="000000" w:themeColor="text1"/>
                <w:sz w:val="18"/>
                <w:szCs w:val="18"/>
              </w:rPr>
              <w:t>1.9</w:t>
            </w:r>
            <w:r w:rsidR="00B71DCA" w:rsidRPr="00FB41A2">
              <w:rPr>
                <w:rFonts w:ascii="Arial" w:hAnsi="Arial" w:cs="Arial"/>
                <w:b/>
                <w:bCs/>
                <w:color w:val="000000" w:themeColor="text1"/>
                <w:sz w:val="18"/>
                <w:szCs w:val="18"/>
              </w:rPr>
              <w:t>%</w:t>
            </w:r>
          </w:p>
        </w:tc>
        <w:tc>
          <w:tcPr>
            <w:tcW w:w="1906" w:type="dxa"/>
            <w:gridSpan w:val="2"/>
            <w:tcBorders>
              <w:top w:val="nil"/>
              <w:left w:val="single" w:sz="4" w:space="0" w:color="31849B" w:themeColor="accent5" w:themeShade="BF"/>
              <w:bottom w:val="nil"/>
              <w:right w:val="nil"/>
            </w:tcBorders>
            <w:vAlign w:val="center"/>
          </w:tcPr>
          <w:p w14:paraId="213ED3C5" w14:textId="518F6C81" w:rsidR="00B71DCA" w:rsidRPr="000C24CB" w:rsidRDefault="00B71DCA" w:rsidP="00B71DC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C24CB">
              <w:rPr>
                <w:rFonts w:ascii="Arial" w:hAnsi="Arial" w:cs="Arial"/>
                <w:b/>
                <w:bCs/>
                <w:color w:val="000000" w:themeColor="text1"/>
                <w:sz w:val="18"/>
                <w:szCs w:val="18"/>
              </w:rPr>
              <w:t>Processed meat</w:t>
            </w:r>
          </w:p>
        </w:tc>
        <w:tc>
          <w:tcPr>
            <w:tcW w:w="990" w:type="dxa"/>
            <w:tcBorders>
              <w:top w:val="nil"/>
              <w:left w:val="nil"/>
              <w:bottom w:val="nil"/>
              <w:right w:val="nil"/>
            </w:tcBorders>
            <w:vAlign w:val="center"/>
          </w:tcPr>
          <w:p w14:paraId="024EE12C" w14:textId="61877F98" w:rsidR="00B71DCA" w:rsidRPr="00FB41A2" w:rsidRDefault="00786E3E"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C39CD">
              <w:rPr>
                <w:rFonts w:ascii="Arial" w:hAnsi="Arial" w:cs="Arial"/>
                <w:b/>
                <w:bCs/>
                <w:color w:val="000000" w:themeColor="text1"/>
                <w:sz w:val="18"/>
                <w:szCs w:val="18"/>
              </w:rPr>
              <w:t>31.</w:t>
            </w:r>
            <w:r w:rsidR="00997B03">
              <w:rPr>
                <w:rFonts w:ascii="Arial" w:hAnsi="Arial" w:cs="Arial"/>
                <w:b/>
                <w:bCs/>
                <w:color w:val="000000" w:themeColor="text1"/>
                <w:sz w:val="18"/>
                <w:szCs w:val="18"/>
              </w:rPr>
              <w:t>6</w:t>
            </w:r>
            <w:r w:rsidR="00B71DCA">
              <w:rPr>
                <w:rFonts w:ascii="Arial" w:hAnsi="Arial" w:cs="Arial"/>
                <w:b/>
                <w:bCs/>
                <w:color w:val="000000" w:themeColor="text1"/>
                <w:sz w:val="18"/>
                <w:szCs w:val="18"/>
              </w:rPr>
              <w:t>B</w:t>
            </w:r>
          </w:p>
        </w:tc>
        <w:tc>
          <w:tcPr>
            <w:tcW w:w="1078" w:type="dxa"/>
            <w:tcBorders>
              <w:top w:val="nil"/>
              <w:left w:val="nil"/>
              <w:bottom w:val="nil"/>
              <w:right w:val="nil"/>
            </w:tcBorders>
            <w:vAlign w:val="center"/>
          </w:tcPr>
          <w:p w14:paraId="2720F5BB" w14:textId="4EA5A21A" w:rsidR="00B71DCA" w:rsidRPr="00FB41A2" w:rsidRDefault="001F639F"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FC39CD">
              <w:rPr>
                <w:rFonts w:ascii="Arial" w:hAnsi="Arial" w:cs="Arial"/>
                <w:b/>
                <w:bCs/>
                <w:color w:val="000000" w:themeColor="text1"/>
                <w:sz w:val="18"/>
                <w:szCs w:val="18"/>
              </w:rPr>
              <w:t>2.</w:t>
            </w:r>
            <w:r w:rsidR="00174C38">
              <w:rPr>
                <w:rFonts w:ascii="Arial" w:hAnsi="Arial" w:cs="Arial"/>
                <w:b/>
                <w:bCs/>
                <w:color w:val="000000" w:themeColor="text1"/>
                <w:sz w:val="18"/>
                <w:szCs w:val="18"/>
              </w:rPr>
              <w:t>1</w:t>
            </w:r>
            <w:r w:rsidR="00B71DCA" w:rsidRPr="00FB41A2">
              <w:rPr>
                <w:rFonts w:ascii="Arial" w:hAnsi="Arial" w:cs="Arial"/>
                <w:b/>
                <w:bCs/>
                <w:color w:val="000000" w:themeColor="text1"/>
                <w:sz w:val="18"/>
                <w:szCs w:val="18"/>
              </w:rPr>
              <w:t>%</w:t>
            </w:r>
          </w:p>
        </w:tc>
        <w:tc>
          <w:tcPr>
            <w:tcW w:w="1355" w:type="dxa"/>
            <w:tcBorders>
              <w:top w:val="nil"/>
              <w:left w:val="nil"/>
              <w:bottom w:val="nil"/>
            </w:tcBorders>
            <w:vAlign w:val="center"/>
          </w:tcPr>
          <w:p w14:paraId="367FC8E0" w14:textId="4305C492" w:rsidR="00B71DCA" w:rsidRPr="00FB41A2" w:rsidRDefault="00B71DCA" w:rsidP="00FC39CD">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174C38">
              <w:rPr>
                <w:rFonts w:ascii="Arial" w:hAnsi="Arial" w:cs="Arial"/>
                <w:b/>
                <w:bCs/>
                <w:color w:val="000000" w:themeColor="text1"/>
                <w:sz w:val="18"/>
                <w:szCs w:val="18"/>
              </w:rPr>
              <w:t>1.0</w:t>
            </w:r>
            <w:r w:rsidRPr="00FB41A2">
              <w:rPr>
                <w:rFonts w:ascii="Arial" w:hAnsi="Arial" w:cs="Arial"/>
                <w:b/>
                <w:bCs/>
                <w:color w:val="000000" w:themeColor="text1"/>
                <w:sz w:val="18"/>
                <w:szCs w:val="18"/>
              </w:rPr>
              <w:t>%</w:t>
            </w:r>
          </w:p>
        </w:tc>
      </w:tr>
      <w:tr w:rsidR="000D6C1A" w:rsidRPr="00525982" w14:paraId="75560C2F"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2BC9E1CF" w14:textId="38C2C791" w:rsidR="000D6C1A" w:rsidRPr="00B22658" w:rsidRDefault="000D6C1A" w:rsidP="000D6C1A">
            <w:pPr>
              <w:pStyle w:val="NoSpacing"/>
              <w:rPr>
                <w:rFonts w:ascii="Arial" w:hAnsi="Arial" w:cs="Arial"/>
                <w:b w:val="0"/>
                <w:color w:val="000000" w:themeColor="text1"/>
                <w:sz w:val="18"/>
                <w:szCs w:val="18"/>
              </w:rPr>
            </w:pPr>
            <w:r w:rsidRPr="00FB41A2">
              <w:rPr>
                <w:rFonts w:ascii="Arial" w:hAnsi="Arial" w:cs="Arial"/>
                <w:b w:val="0"/>
                <w:color w:val="000000" w:themeColor="text1"/>
                <w:sz w:val="18"/>
                <w:szCs w:val="18"/>
              </w:rPr>
              <w:t>Packaged lunchmeat</w:t>
            </w:r>
          </w:p>
        </w:tc>
        <w:tc>
          <w:tcPr>
            <w:tcW w:w="995" w:type="dxa"/>
            <w:tcBorders>
              <w:top w:val="nil"/>
              <w:bottom w:val="nil"/>
            </w:tcBorders>
            <w:shd w:val="clear" w:color="auto" w:fill="D9D9D9" w:themeFill="background1" w:themeFillShade="D9"/>
            <w:vAlign w:val="center"/>
          </w:tcPr>
          <w:p w14:paraId="7AE88675" w14:textId="2A75DE4E" w:rsidR="000D6C1A" w:rsidRPr="00FB41A2" w:rsidRDefault="000D6C1A"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852B5">
              <w:rPr>
                <w:rFonts w:ascii="Arial" w:hAnsi="Arial" w:cs="Arial"/>
                <w:color w:val="000000" w:themeColor="text1"/>
                <w:sz w:val="18"/>
                <w:szCs w:val="18"/>
              </w:rPr>
              <w:t>$</w:t>
            </w:r>
            <w:r w:rsidR="00174C38">
              <w:rPr>
                <w:rFonts w:ascii="Arial" w:hAnsi="Arial" w:cs="Arial"/>
                <w:color w:val="000000" w:themeColor="text1"/>
                <w:sz w:val="18"/>
                <w:szCs w:val="18"/>
              </w:rPr>
              <w:t>681</w:t>
            </w:r>
            <w:r w:rsidRPr="005852B5">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457B228D" w14:textId="1079B2CE" w:rsidR="000D6C1A" w:rsidRPr="00FB41A2" w:rsidRDefault="000D6C1A"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912C0">
              <w:rPr>
                <w:rFonts w:ascii="Arial" w:hAnsi="Arial" w:cs="Arial"/>
                <w:color w:val="000000" w:themeColor="text1"/>
                <w:sz w:val="18"/>
                <w:szCs w:val="18"/>
              </w:rPr>
              <w:t>-</w:t>
            </w:r>
            <w:r w:rsidR="00174C38">
              <w:rPr>
                <w:rFonts w:ascii="Arial" w:hAnsi="Arial" w:cs="Arial"/>
                <w:color w:val="000000" w:themeColor="text1"/>
                <w:sz w:val="18"/>
                <w:szCs w:val="18"/>
              </w:rPr>
              <w:t>3.4</w:t>
            </w:r>
            <w:r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1FE9525E" w14:textId="39E0E068" w:rsidR="000D6C1A" w:rsidRPr="00FB41A2" w:rsidRDefault="00174C38"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r w:rsidR="000D6C1A"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5099D24" w14:textId="04008FEE"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90" w:type="dxa"/>
            <w:tcBorders>
              <w:top w:val="nil"/>
              <w:bottom w:val="nil"/>
            </w:tcBorders>
            <w:shd w:val="clear" w:color="auto" w:fill="D9D9D9" w:themeFill="background1" w:themeFillShade="D9"/>
            <w:vAlign w:val="center"/>
          </w:tcPr>
          <w:p w14:paraId="6CDE425F" w14:textId="0AD1989C" w:rsidR="000D6C1A" w:rsidRPr="00FB41A2" w:rsidRDefault="000D6C1A"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4CF1">
              <w:rPr>
                <w:rFonts w:ascii="Arial" w:hAnsi="Arial" w:cs="Arial"/>
                <w:color w:val="000000" w:themeColor="text1"/>
                <w:sz w:val="18"/>
                <w:szCs w:val="18"/>
              </w:rPr>
              <w:t>$</w:t>
            </w:r>
            <w:r w:rsidR="00FC39CD">
              <w:rPr>
                <w:rFonts w:ascii="Arial" w:hAnsi="Arial" w:cs="Arial"/>
                <w:color w:val="000000" w:themeColor="text1"/>
                <w:sz w:val="18"/>
                <w:szCs w:val="18"/>
              </w:rPr>
              <w:t>7.1</w:t>
            </w:r>
            <w:r w:rsidRPr="000B4CF1">
              <w:rPr>
                <w:rFonts w:ascii="Arial" w:hAnsi="Arial" w:cs="Arial"/>
                <w:color w:val="000000" w:themeColor="text1"/>
                <w:sz w:val="18"/>
                <w:szCs w:val="18"/>
              </w:rPr>
              <w:t>B</w:t>
            </w:r>
          </w:p>
        </w:tc>
        <w:tc>
          <w:tcPr>
            <w:tcW w:w="1078" w:type="dxa"/>
            <w:tcBorders>
              <w:top w:val="nil"/>
              <w:bottom w:val="nil"/>
            </w:tcBorders>
            <w:shd w:val="clear" w:color="auto" w:fill="D9D9D9" w:themeFill="background1" w:themeFillShade="D9"/>
            <w:vAlign w:val="center"/>
          </w:tcPr>
          <w:p w14:paraId="25A51D9D" w14:textId="3CC2727A" w:rsidR="000D6C1A" w:rsidRPr="00FB41A2" w:rsidRDefault="000D6C1A"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997B03">
              <w:rPr>
                <w:rFonts w:ascii="Arial" w:hAnsi="Arial" w:cs="Arial"/>
                <w:color w:val="000000" w:themeColor="text1"/>
                <w:sz w:val="18"/>
                <w:szCs w:val="18"/>
              </w:rPr>
              <w:t>1.</w:t>
            </w:r>
            <w:r w:rsidR="00174C38">
              <w:rPr>
                <w:rFonts w:ascii="Arial" w:hAnsi="Arial" w:cs="Arial"/>
                <w:color w:val="000000" w:themeColor="text1"/>
                <w:sz w:val="18"/>
                <w:szCs w:val="18"/>
              </w:rPr>
              <w:t>9</w:t>
            </w:r>
            <w:r w:rsidRPr="00273132">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4A6DE77A" w14:textId="3F14C140" w:rsidR="000D6C1A" w:rsidRPr="00FB41A2" w:rsidRDefault="000D6C1A" w:rsidP="00FC39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174C38">
              <w:rPr>
                <w:rFonts w:ascii="Arial" w:hAnsi="Arial" w:cs="Arial"/>
                <w:color w:val="000000" w:themeColor="text1"/>
                <w:sz w:val="18"/>
                <w:szCs w:val="18"/>
              </w:rPr>
              <w:t>1.2</w:t>
            </w:r>
            <w:r w:rsidRPr="00273132">
              <w:rPr>
                <w:rFonts w:ascii="Arial" w:hAnsi="Arial" w:cs="Arial"/>
                <w:color w:val="000000" w:themeColor="text1"/>
                <w:sz w:val="18"/>
                <w:szCs w:val="18"/>
              </w:rPr>
              <w:t>%</w:t>
            </w:r>
          </w:p>
        </w:tc>
      </w:tr>
      <w:tr w:rsidR="00330ACD" w:rsidRPr="00525982" w14:paraId="0AFF00DD"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6AF1C46F" w14:textId="69602695" w:rsidR="00330ACD" w:rsidRPr="00FB41A2" w:rsidRDefault="00330ACD" w:rsidP="00330AC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Bacon</w:t>
            </w:r>
          </w:p>
        </w:tc>
        <w:tc>
          <w:tcPr>
            <w:tcW w:w="995" w:type="dxa"/>
            <w:tcBorders>
              <w:top w:val="nil"/>
              <w:bottom w:val="nil"/>
            </w:tcBorders>
            <w:vAlign w:val="center"/>
          </w:tcPr>
          <w:p w14:paraId="5809C9A3" w14:textId="39A16A6F"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5852B5">
              <w:rPr>
                <w:rFonts w:ascii="Arial" w:hAnsi="Arial" w:cs="Arial"/>
                <w:color w:val="000000" w:themeColor="text1"/>
                <w:sz w:val="18"/>
                <w:szCs w:val="18"/>
              </w:rPr>
              <w:t>$</w:t>
            </w:r>
            <w:r w:rsidR="00174C38">
              <w:rPr>
                <w:rFonts w:ascii="Arial" w:hAnsi="Arial" w:cs="Arial"/>
                <w:color w:val="000000" w:themeColor="text1"/>
                <w:sz w:val="18"/>
                <w:szCs w:val="18"/>
              </w:rPr>
              <w:t>626</w:t>
            </w:r>
            <w:r w:rsidRPr="005852B5">
              <w:rPr>
                <w:rFonts w:ascii="Arial" w:hAnsi="Arial" w:cs="Arial"/>
                <w:color w:val="000000" w:themeColor="text1"/>
                <w:sz w:val="18"/>
                <w:szCs w:val="18"/>
              </w:rPr>
              <w:t>M</w:t>
            </w:r>
          </w:p>
        </w:tc>
        <w:tc>
          <w:tcPr>
            <w:tcW w:w="1085" w:type="dxa"/>
            <w:gridSpan w:val="2"/>
            <w:tcBorders>
              <w:top w:val="nil"/>
              <w:bottom w:val="nil"/>
            </w:tcBorders>
            <w:vAlign w:val="center"/>
          </w:tcPr>
          <w:p w14:paraId="0A89610A" w14:textId="5C3E267A" w:rsidR="00330ACD" w:rsidRPr="00FB41A2" w:rsidRDefault="00174C38"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+6.1</w:t>
            </w:r>
            <w:r w:rsidR="00330ACD"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35C628C" w14:textId="3E903E21" w:rsidR="00330ACD" w:rsidRPr="00FB41A2" w:rsidRDefault="00174C38"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-2.9</w:t>
            </w:r>
            <w:r w:rsidR="00330ACD"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1A3D6B41" w14:textId="08EAEE3B"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Bacon</w:t>
            </w:r>
          </w:p>
        </w:tc>
        <w:tc>
          <w:tcPr>
            <w:tcW w:w="990" w:type="dxa"/>
            <w:tcBorders>
              <w:top w:val="nil"/>
              <w:bottom w:val="nil"/>
            </w:tcBorders>
            <w:vAlign w:val="center"/>
          </w:tcPr>
          <w:p w14:paraId="414860A6" w14:textId="10FDD669"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B4CF1">
              <w:rPr>
                <w:rFonts w:ascii="Arial" w:hAnsi="Arial" w:cs="Arial"/>
                <w:color w:val="000000" w:themeColor="text1"/>
                <w:sz w:val="18"/>
                <w:szCs w:val="18"/>
              </w:rPr>
              <w:t>$</w:t>
            </w:r>
            <w:r w:rsidR="00174C38">
              <w:rPr>
                <w:rFonts w:ascii="Arial" w:hAnsi="Arial" w:cs="Arial"/>
                <w:color w:val="000000" w:themeColor="text1"/>
                <w:sz w:val="18"/>
                <w:szCs w:val="18"/>
              </w:rPr>
              <w:t>6.7</w:t>
            </w:r>
            <w:r w:rsidRPr="000B4CF1">
              <w:rPr>
                <w:rFonts w:ascii="Arial" w:hAnsi="Arial" w:cs="Arial"/>
                <w:color w:val="000000" w:themeColor="text1"/>
                <w:sz w:val="18"/>
                <w:szCs w:val="18"/>
              </w:rPr>
              <w:t>B</w:t>
            </w:r>
          </w:p>
        </w:tc>
        <w:tc>
          <w:tcPr>
            <w:tcW w:w="1078" w:type="dxa"/>
            <w:tcBorders>
              <w:top w:val="nil"/>
              <w:bottom w:val="nil"/>
            </w:tcBorders>
            <w:vAlign w:val="center"/>
          </w:tcPr>
          <w:p w14:paraId="10B09773" w14:textId="7EDABC82"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174C38">
              <w:rPr>
                <w:rFonts w:ascii="Arial" w:hAnsi="Arial" w:cs="Arial"/>
                <w:color w:val="000000" w:themeColor="text1"/>
                <w:sz w:val="18"/>
                <w:szCs w:val="18"/>
              </w:rPr>
              <w:t>2.0</w:t>
            </w:r>
            <w:r w:rsidRPr="00273132">
              <w:rPr>
                <w:rFonts w:ascii="Arial" w:hAnsi="Arial" w:cs="Arial"/>
                <w:color w:val="000000" w:themeColor="text1"/>
                <w:sz w:val="18"/>
                <w:szCs w:val="18"/>
              </w:rPr>
              <w:t>%</w:t>
            </w:r>
          </w:p>
        </w:tc>
        <w:tc>
          <w:tcPr>
            <w:tcW w:w="1355" w:type="dxa"/>
            <w:tcBorders>
              <w:top w:val="nil"/>
              <w:bottom w:val="nil"/>
            </w:tcBorders>
            <w:vAlign w:val="center"/>
          </w:tcPr>
          <w:p w14:paraId="61AED3C4" w14:textId="48EEAF2A"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74C38">
              <w:rPr>
                <w:rFonts w:ascii="Arial" w:hAnsi="Arial" w:cs="Arial"/>
                <w:color w:val="000000" w:themeColor="text1"/>
                <w:sz w:val="18"/>
                <w:szCs w:val="18"/>
              </w:rPr>
              <w:t>0.1</w:t>
            </w:r>
            <w:r w:rsidRPr="00273132">
              <w:rPr>
                <w:rFonts w:ascii="Arial" w:hAnsi="Arial" w:cs="Arial"/>
                <w:color w:val="000000" w:themeColor="text1"/>
                <w:sz w:val="18"/>
                <w:szCs w:val="18"/>
              </w:rPr>
              <w:t>%</w:t>
            </w:r>
          </w:p>
        </w:tc>
      </w:tr>
      <w:tr w:rsidR="00330ACD" w:rsidRPr="00525982" w14:paraId="4773FA61"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349CBB83" w14:textId="0308AF23" w:rsidR="00330ACD" w:rsidRPr="00FB41A2" w:rsidRDefault="00330ACD" w:rsidP="00330ACD">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Dinner sausage</w:t>
            </w:r>
          </w:p>
        </w:tc>
        <w:tc>
          <w:tcPr>
            <w:tcW w:w="995" w:type="dxa"/>
            <w:tcBorders>
              <w:top w:val="nil"/>
              <w:bottom w:val="nil"/>
            </w:tcBorders>
            <w:shd w:val="clear" w:color="auto" w:fill="D9D9D9" w:themeFill="background1" w:themeFillShade="D9"/>
            <w:vAlign w:val="center"/>
          </w:tcPr>
          <w:p w14:paraId="7BD25B37" w14:textId="7F129064"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852B5">
              <w:rPr>
                <w:rFonts w:ascii="Arial" w:hAnsi="Arial" w:cs="Arial"/>
                <w:color w:val="000000" w:themeColor="text1"/>
                <w:sz w:val="18"/>
                <w:szCs w:val="18"/>
              </w:rPr>
              <w:t>$</w:t>
            </w:r>
            <w:r w:rsidR="00174C38">
              <w:rPr>
                <w:rFonts w:ascii="Arial" w:hAnsi="Arial" w:cs="Arial"/>
                <w:color w:val="000000" w:themeColor="text1"/>
                <w:sz w:val="18"/>
                <w:szCs w:val="18"/>
              </w:rPr>
              <w:t>577</w:t>
            </w:r>
            <w:r w:rsidRPr="005852B5">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500249E3" w14:textId="7DDBE5C4" w:rsidR="00330ACD" w:rsidRPr="00FB41A2" w:rsidRDefault="00174C38"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0.0</w:t>
            </w:r>
            <w:r w:rsidR="00330ACD"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02D95B84" w14:textId="57B08F81"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174C38">
              <w:rPr>
                <w:rFonts w:ascii="Arial" w:hAnsi="Arial" w:cs="Arial"/>
                <w:color w:val="000000" w:themeColor="text1"/>
                <w:sz w:val="18"/>
                <w:szCs w:val="18"/>
              </w:rPr>
              <w:t>0.1</w:t>
            </w:r>
            <w:r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67988675" w14:textId="40C4ACEF"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Dinner sausage</w:t>
            </w:r>
          </w:p>
        </w:tc>
        <w:tc>
          <w:tcPr>
            <w:tcW w:w="990" w:type="dxa"/>
            <w:tcBorders>
              <w:top w:val="nil"/>
              <w:bottom w:val="nil"/>
            </w:tcBorders>
            <w:shd w:val="clear" w:color="auto" w:fill="D9D9D9" w:themeFill="background1" w:themeFillShade="D9"/>
            <w:vAlign w:val="center"/>
          </w:tcPr>
          <w:p w14:paraId="616B167D" w14:textId="17BCAE5C"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4CF1">
              <w:rPr>
                <w:rFonts w:ascii="Arial" w:hAnsi="Arial" w:cs="Arial"/>
                <w:color w:val="000000" w:themeColor="text1"/>
                <w:sz w:val="18"/>
                <w:szCs w:val="18"/>
              </w:rPr>
              <w:t>$</w:t>
            </w:r>
            <w:r>
              <w:rPr>
                <w:rFonts w:ascii="Arial" w:hAnsi="Arial" w:cs="Arial"/>
                <w:color w:val="000000" w:themeColor="text1"/>
                <w:sz w:val="18"/>
                <w:szCs w:val="18"/>
              </w:rPr>
              <w:t>5.5</w:t>
            </w:r>
            <w:r w:rsidRPr="000B4CF1">
              <w:rPr>
                <w:rFonts w:ascii="Arial" w:hAnsi="Arial" w:cs="Arial"/>
                <w:color w:val="000000" w:themeColor="text1"/>
                <w:sz w:val="18"/>
                <w:szCs w:val="18"/>
              </w:rPr>
              <w:t>B</w:t>
            </w:r>
          </w:p>
        </w:tc>
        <w:tc>
          <w:tcPr>
            <w:tcW w:w="1078" w:type="dxa"/>
            <w:tcBorders>
              <w:top w:val="nil"/>
              <w:bottom w:val="nil"/>
            </w:tcBorders>
            <w:shd w:val="clear" w:color="auto" w:fill="D9D9D9" w:themeFill="background1" w:themeFillShade="D9"/>
            <w:vAlign w:val="center"/>
          </w:tcPr>
          <w:p w14:paraId="644A9E09" w14:textId="547663B9"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+0.6</w:t>
            </w:r>
            <w:r w:rsidRPr="00273132">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D9DBD4D" w14:textId="2E44FA6A"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74C38">
              <w:rPr>
                <w:rFonts w:ascii="Arial" w:hAnsi="Arial" w:cs="Arial"/>
                <w:color w:val="000000" w:themeColor="text1"/>
                <w:sz w:val="18"/>
                <w:szCs w:val="18"/>
              </w:rPr>
              <w:t>1.8</w:t>
            </w:r>
            <w:r w:rsidRPr="00273132">
              <w:rPr>
                <w:rFonts w:ascii="Arial" w:hAnsi="Arial" w:cs="Arial"/>
                <w:color w:val="000000" w:themeColor="text1"/>
                <w:sz w:val="18"/>
                <w:szCs w:val="18"/>
              </w:rPr>
              <w:t>%</w:t>
            </w:r>
          </w:p>
        </w:tc>
      </w:tr>
      <w:tr w:rsidR="00330ACD" w:rsidRPr="00525982" w14:paraId="607E478D"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38E74A3" w14:textId="4F6FAF02" w:rsidR="00330ACD" w:rsidRPr="00FB41A2" w:rsidRDefault="00330ACD" w:rsidP="00330ACD">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Frankfurters</w:t>
            </w:r>
          </w:p>
        </w:tc>
        <w:tc>
          <w:tcPr>
            <w:tcW w:w="995" w:type="dxa"/>
            <w:tcBorders>
              <w:top w:val="nil"/>
              <w:bottom w:val="nil"/>
            </w:tcBorders>
            <w:vAlign w:val="center"/>
          </w:tcPr>
          <w:p w14:paraId="3B1D7971" w14:textId="576D2729"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5852B5">
              <w:rPr>
                <w:rFonts w:ascii="Arial" w:hAnsi="Arial" w:cs="Arial"/>
                <w:color w:val="000000" w:themeColor="text1"/>
                <w:sz w:val="18"/>
                <w:szCs w:val="18"/>
              </w:rPr>
              <w:t>$</w:t>
            </w:r>
            <w:r w:rsidR="00174C38">
              <w:rPr>
                <w:rFonts w:ascii="Arial" w:hAnsi="Arial" w:cs="Arial"/>
                <w:color w:val="000000" w:themeColor="text1"/>
                <w:sz w:val="18"/>
                <w:szCs w:val="18"/>
              </w:rPr>
              <w:t>390</w:t>
            </w:r>
            <w:r w:rsidRPr="005852B5">
              <w:rPr>
                <w:rFonts w:ascii="Arial" w:hAnsi="Arial" w:cs="Arial"/>
                <w:color w:val="000000" w:themeColor="text1"/>
                <w:sz w:val="18"/>
                <w:szCs w:val="18"/>
              </w:rPr>
              <w:t>M</w:t>
            </w:r>
          </w:p>
        </w:tc>
        <w:tc>
          <w:tcPr>
            <w:tcW w:w="1085" w:type="dxa"/>
            <w:gridSpan w:val="2"/>
            <w:tcBorders>
              <w:top w:val="nil"/>
              <w:bottom w:val="nil"/>
            </w:tcBorders>
            <w:vAlign w:val="center"/>
          </w:tcPr>
          <w:p w14:paraId="74C8B100" w14:textId="08227836"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912C0">
              <w:rPr>
                <w:rFonts w:ascii="Arial" w:hAnsi="Arial" w:cs="Arial"/>
                <w:color w:val="000000" w:themeColor="text1"/>
                <w:sz w:val="18"/>
                <w:szCs w:val="18"/>
              </w:rPr>
              <w:t>-</w:t>
            </w:r>
            <w:r w:rsidR="00174C38">
              <w:rPr>
                <w:rFonts w:ascii="Arial" w:hAnsi="Arial" w:cs="Arial"/>
                <w:color w:val="000000" w:themeColor="text1"/>
                <w:sz w:val="18"/>
                <w:szCs w:val="18"/>
              </w:rPr>
              <w:t>0.7</w:t>
            </w:r>
            <w:r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23B3BBE" w14:textId="605557C0" w:rsidR="00330ACD" w:rsidRPr="00FB41A2" w:rsidRDefault="00174C38"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-3.4</w:t>
            </w:r>
            <w:r w:rsidR="00330ACD"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456FD3D8" w14:textId="18052BA8"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Frankfurters</w:t>
            </w:r>
          </w:p>
        </w:tc>
        <w:tc>
          <w:tcPr>
            <w:tcW w:w="990" w:type="dxa"/>
            <w:tcBorders>
              <w:top w:val="nil"/>
              <w:bottom w:val="nil"/>
            </w:tcBorders>
            <w:vAlign w:val="center"/>
          </w:tcPr>
          <w:p w14:paraId="6E1EEDEB" w14:textId="13E5C944"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B4CF1">
              <w:rPr>
                <w:rFonts w:ascii="Arial" w:hAnsi="Arial" w:cs="Arial"/>
                <w:color w:val="000000" w:themeColor="text1"/>
                <w:sz w:val="18"/>
                <w:szCs w:val="18"/>
              </w:rPr>
              <w:t>$</w:t>
            </w:r>
            <w:r>
              <w:rPr>
                <w:rFonts w:ascii="Arial" w:hAnsi="Arial" w:cs="Arial"/>
                <w:color w:val="000000" w:themeColor="text1"/>
                <w:sz w:val="18"/>
                <w:szCs w:val="18"/>
              </w:rPr>
              <w:t>3.1</w:t>
            </w:r>
            <w:r w:rsidRPr="000B4CF1">
              <w:rPr>
                <w:rFonts w:ascii="Arial" w:hAnsi="Arial" w:cs="Arial"/>
                <w:color w:val="000000" w:themeColor="text1"/>
                <w:sz w:val="18"/>
                <w:szCs w:val="18"/>
              </w:rPr>
              <w:t>B</w:t>
            </w:r>
          </w:p>
        </w:tc>
        <w:tc>
          <w:tcPr>
            <w:tcW w:w="1078" w:type="dxa"/>
            <w:tcBorders>
              <w:top w:val="nil"/>
              <w:bottom w:val="nil"/>
            </w:tcBorders>
            <w:vAlign w:val="center"/>
          </w:tcPr>
          <w:p w14:paraId="339A3227" w14:textId="7C682DE1"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Pr>
                <w:rFonts w:ascii="Arial" w:hAnsi="Arial" w:cs="Arial"/>
                <w:color w:val="000000" w:themeColor="text1"/>
                <w:sz w:val="18"/>
                <w:szCs w:val="18"/>
              </w:rPr>
              <w:t>0.</w:t>
            </w:r>
            <w:r w:rsidR="00174C38">
              <w:rPr>
                <w:rFonts w:ascii="Arial" w:hAnsi="Arial" w:cs="Arial"/>
                <w:color w:val="000000" w:themeColor="text1"/>
                <w:sz w:val="18"/>
                <w:szCs w:val="18"/>
              </w:rPr>
              <w:t>9</w:t>
            </w:r>
            <w:r w:rsidRPr="00273132">
              <w:rPr>
                <w:rFonts w:ascii="Arial" w:hAnsi="Arial" w:cs="Arial"/>
                <w:color w:val="000000" w:themeColor="text1"/>
                <w:sz w:val="18"/>
                <w:szCs w:val="18"/>
              </w:rPr>
              <w:t>%</w:t>
            </w:r>
          </w:p>
        </w:tc>
        <w:tc>
          <w:tcPr>
            <w:tcW w:w="1355" w:type="dxa"/>
            <w:tcBorders>
              <w:top w:val="nil"/>
              <w:bottom w:val="nil"/>
            </w:tcBorders>
            <w:vAlign w:val="center"/>
          </w:tcPr>
          <w:p w14:paraId="3D82DDA8" w14:textId="14285179"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Pr>
                <w:rFonts w:ascii="Arial" w:hAnsi="Arial" w:cs="Arial"/>
                <w:color w:val="000000" w:themeColor="text1"/>
                <w:sz w:val="18"/>
                <w:szCs w:val="18"/>
              </w:rPr>
              <w:t>2.</w:t>
            </w:r>
            <w:r w:rsidR="00174C38">
              <w:rPr>
                <w:rFonts w:ascii="Arial" w:hAnsi="Arial" w:cs="Arial"/>
                <w:color w:val="000000" w:themeColor="text1"/>
                <w:sz w:val="18"/>
                <w:szCs w:val="18"/>
              </w:rPr>
              <w:t>9</w:t>
            </w:r>
            <w:r w:rsidRPr="00273132">
              <w:rPr>
                <w:rFonts w:ascii="Arial" w:hAnsi="Arial" w:cs="Arial"/>
                <w:color w:val="000000" w:themeColor="text1"/>
                <w:sz w:val="18"/>
                <w:szCs w:val="18"/>
              </w:rPr>
              <w:t>%</w:t>
            </w:r>
          </w:p>
        </w:tc>
      </w:tr>
      <w:tr w:rsidR="00330ACD" w:rsidRPr="00525982" w14:paraId="7B3D0CC7"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A274137" w14:textId="0DD2F075" w:rsidR="00330ACD" w:rsidRPr="00FB41A2" w:rsidRDefault="00330ACD" w:rsidP="00330ACD">
            <w:pPr>
              <w:pStyle w:val="NoSpacing"/>
              <w:rPr>
                <w:rFonts w:ascii="Arial" w:hAnsi="Arial" w:cs="Arial"/>
                <w:color w:val="000000" w:themeColor="text1"/>
                <w:sz w:val="18"/>
                <w:szCs w:val="18"/>
              </w:rPr>
            </w:pPr>
            <w:r w:rsidRPr="00FB41A2">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vAlign w:val="center"/>
          </w:tcPr>
          <w:p w14:paraId="7EFDD3C3" w14:textId="754BA5C6"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852B5">
              <w:rPr>
                <w:rFonts w:ascii="Arial" w:hAnsi="Arial" w:cs="Arial"/>
                <w:color w:val="000000" w:themeColor="text1"/>
                <w:sz w:val="18"/>
                <w:szCs w:val="18"/>
              </w:rPr>
              <w:t>$</w:t>
            </w:r>
            <w:r w:rsidR="00176974">
              <w:rPr>
                <w:rFonts w:ascii="Arial" w:hAnsi="Arial" w:cs="Arial"/>
                <w:color w:val="000000" w:themeColor="text1"/>
                <w:sz w:val="18"/>
                <w:szCs w:val="18"/>
              </w:rPr>
              <w:t>203</w:t>
            </w:r>
            <w:r w:rsidRPr="005852B5">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6AB1D88C" w14:textId="531EBEBC" w:rsidR="00330ACD" w:rsidRPr="00FB41A2" w:rsidRDefault="00176974"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+2.8</w:t>
            </w:r>
            <w:r w:rsidR="00330ACD"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43CD64AD" w14:textId="3A03B242"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76974">
              <w:rPr>
                <w:rFonts w:ascii="Arial" w:hAnsi="Arial" w:cs="Arial"/>
                <w:color w:val="000000" w:themeColor="text1"/>
                <w:sz w:val="18"/>
                <w:szCs w:val="18"/>
              </w:rPr>
              <w:t>0.8</w:t>
            </w:r>
            <w:r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399C1751" w14:textId="2878E73B"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Breakfast sausage</w:t>
            </w:r>
          </w:p>
        </w:tc>
        <w:tc>
          <w:tcPr>
            <w:tcW w:w="990" w:type="dxa"/>
            <w:tcBorders>
              <w:top w:val="nil"/>
              <w:bottom w:val="nil"/>
            </w:tcBorders>
            <w:shd w:val="clear" w:color="auto" w:fill="D9D9D9" w:themeFill="background1" w:themeFillShade="D9"/>
            <w:vAlign w:val="center"/>
          </w:tcPr>
          <w:p w14:paraId="3437496E" w14:textId="1739F8A4"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B4CF1">
              <w:rPr>
                <w:rFonts w:ascii="Arial" w:hAnsi="Arial" w:cs="Arial"/>
                <w:color w:val="000000" w:themeColor="text1"/>
                <w:sz w:val="18"/>
                <w:szCs w:val="18"/>
              </w:rPr>
              <w:t>$</w:t>
            </w:r>
            <w:r>
              <w:rPr>
                <w:rFonts w:ascii="Arial" w:hAnsi="Arial" w:cs="Arial"/>
                <w:color w:val="000000" w:themeColor="text1"/>
                <w:sz w:val="18"/>
                <w:szCs w:val="18"/>
              </w:rPr>
              <w:t>2.3</w:t>
            </w:r>
            <w:r w:rsidRPr="000B4CF1">
              <w:rPr>
                <w:rFonts w:ascii="Arial" w:hAnsi="Arial" w:cs="Arial"/>
                <w:color w:val="000000" w:themeColor="text1"/>
                <w:sz w:val="18"/>
                <w:szCs w:val="18"/>
              </w:rPr>
              <w:t>B</w:t>
            </w:r>
          </w:p>
        </w:tc>
        <w:tc>
          <w:tcPr>
            <w:tcW w:w="1078" w:type="dxa"/>
            <w:tcBorders>
              <w:top w:val="nil"/>
              <w:bottom w:val="nil"/>
            </w:tcBorders>
            <w:shd w:val="clear" w:color="auto" w:fill="D9D9D9" w:themeFill="background1" w:themeFillShade="D9"/>
            <w:vAlign w:val="center"/>
          </w:tcPr>
          <w:p w14:paraId="4808D3FB" w14:textId="7BA16B2C"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174C38">
              <w:rPr>
                <w:rFonts w:ascii="Arial" w:hAnsi="Arial" w:cs="Arial"/>
                <w:color w:val="000000" w:themeColor="text1"/>
                <w:sz w:val="18"/>
                <w:szCs w:val="18"/>
              </w:rPr>
              <w:t>1.5</w:t>
            </w:r>
            <w:r w:rsidRPr="00273132">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5B927EB" w14:textId="6C925D5A" w:rsidR="00330ACD" w:rsidRPr="00FB41A2" w:rsidRDefault="00174C38"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330ACD">
              <w:rPr>
                <w:rFonts w:ascii="Arial" w:hAnsi="Arial" w:cs="Arial"/>
                <w:color w:val="000000" w:themeColor="text1"/>
                <w:sz w:val="18"/>
                <w:szCs w:val="18"/>
              </w:rPr>
              <w:t>0.2</w:t>
            </w:r>
            <w:r w:rsidR="00330ACD" w:rsidRPr="00273132">
              <w:rPr>
                <w:rFonts w:ascii="Arial" w:hAnsi="Arial" w:cs="Arial"/>
                <w:color w:val="000000" w:themeColor="text1"/>
                <w:sz w:val="18"/>
                <w:szCs w:val="18"/>
              </w:rPr>
              <w:t>%</w:t>
            </w:r>
          </w:p>
        </w:tc>
      </w:tr>
      <w:tr w:rsidR="00330ACD" w:rsidRPr="00525982" w14:paraId="73CE52D6" w14:textId="77777777" w:rsidTr="00FC39CD">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0202726" w14:textId="7DAEC536" w:rsidR="00330ACD" w:rsidRPr="00FB41A2" w:rsidRDefault="00330ACD" w:rsidP="00330ACD">
            <w:pPr>
              <w:pStyle w:val="NoSpacing"/>
              <w:rPr>
                <w:rFonts w:ascii="Arial" w:hAnsi="Arial" w:cs="Arial"/>
                <w:color w:val="000000" w:themeColor="text1"/>
                <w:sz w:val="18"/>
                <w:szCs w:val="18"/>
              </w:rPr>
            </w:pPr>
            <w:r w:rsidRPr="00FB41A2">
              <w:rPr>
                <w:rFonts w:ascii="Arial" w:hAnsi="Arial" w:cs="Arial"/>
                <w:b w:val="0"/>
                <w:color w:val="000000" w:themeColor="text1"/>
                <w:sz w:val="18"/>
                <w:szCs w:val="18"/>
              </w:rPr>
              <w:t>Smoked ham</w:t>
            </w:r>
          </w:p>
        </w:tc>
        <w:tc>
          <w:tcPr>
            <w:tcW w:w="995" w:type="dxa"/>
            <w:tcBorders>
              <w:top w:val="nil"/>
              <w:bottom w:val="nil"/>
            </w:tcBorders>
            <w:vAlign w:val="center"/>
          </w:tcPr>
          <w:p w14:paraId="1C8ADC8F" w14:textId="66D659B8"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852B5">
              <w:rPr>
                <w:rFonts w:ascii="Arial" w:hAnsi="Arial" w:cs="Arial"/>
                <w:color w:val="000000" w:themeColor="text1"/>
                <w:sz w:val="18"/>
                <w:szCs w:val="18"/>
              </w:rPr>
              <w:t>$</w:t>
            </w:r>
            <w:r w:rsidR="00176974">
              <w:rPr>
                <w:rFonts w:ascii="Arial" w:hAnsi="Arial" w:cs="Arial"/>
                <w:color w:val="000000" w:themeColor="text1"/>
                <w:sz w:val="18"/>
                <w:szCs w:val="18"/>
              </w:rPr>
              <w:t>81</w:t>
            </w:r>
            <w:r w:rsidRPr="005852B5">
              <w:rPr>
                <w:rFonts w:ascii="Arial" w:hAnsi="Arial" w:cs="Arial"/>
                <w:color w:val="000000" w:themeColor="text1"/>
                <w:sz w:val="18"/>
                <w:szCs w:val="18"/>
              </w:rPr>
              <w:t>M</w:t>
            </w:r>
          </w:p>
        </w:tc>
        <w:tc>
          <w:tcPr>
            <w:tcW w:w="1085" w:type="dxa"/>
            <w:gridSpan w:val="2"/>
            <w:tcBorders>
              <w:top w:val="nil"/>
              <w:bottom w:val="nil"/>
            </w:tcBorders>
            <w:vAlign w:val="center"/>
          </w:tcPr>
          <w:p w14:paraId="163C2841" w14:textId="4CFFCD98"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912C0">
              <w:rPr>
                <w:rFonts w:ascii="Arial" w:hAnsi="Arial" w:cs="Arial"/>
                <w:color w:val="000000" w:themeColor="text1"/>
                <w:sz w:val="18"/>
                <w:szCs w:val="18"/>
              </w:rPr>
              <w:t>-</w:t>
            </w:r>
            <w:r w:rsidR="00176974">
              <w:rPr>
                <w:rFonts w:ascii="Arial" w:hAnsi="Arial" w:cs="Arial"/>
                <w:color w:val="000000" w:themeColor="text1"/>
                <w:sz w:val="18"/>
                <w:szCs w:val="18"/>
              </w:rPr>
              <w:t>0.2</w:t>
            </w:r>
            <w:r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1CE0F1F9" w14:textId="3E20192A"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176974">
              <w:rPr>
                <w:rFonts w:ascii="Arial" w:hAnsi="Arial" w:cs="Arial"/>
                <w:color w:val="000000" w:themeColor="text1"/>
                <w:sz w:val="18"/>
                <w:szCs w:val="18"/>
              </w:rPr>
              <w:t>1.0</w:t>
            </w:r>
            <w:r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7CAFA54F" w14:textId="21141E12"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Smoked ham</w:t>
            </w:r>
          </w:p>
        </w:tc>
        <w:tc>
          <w:tcPr>
            <w:tcW w:w="990" w:type="dxa"/>
            <w:tcBorders>
              <w:top w:val="nil"/>
              <w:bottom w:val="nil"/>
            </w:tcBorders>
            <w:vAlign w:val="center"/>
          </w:tcPr>
          <w:p w14:paraId="7965CF51" w14:textId="70D7B5B6"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E3D10">
              <w:rPr>
                <w:rFonts w:ascii="Arial" w:hAnsi="Arial" w:cs="Arial"/>
                <w:color w:val="000000" w:themeColor="text1"/>
                <w:sz w:val="18"/>
                <w:szCs w:val="18"/>
              </w:rPr>
              <w:t>$</w:t>
            </w:r>
            <w:r>
              <w:rPr>
                <w:rFonts w:ascii="Arial" w:hAnsi="Arial" w:cs="Arial"/>
                <w:color w:val="000000" w:themeColor="text1"/>
                <w:sz w:val="18"/>
                <w:szCs w:val="18"/>
              </w:rPr>
              <w:t>1.9</w:t>
            </w:r>
            <w:r w:rsidRPr="002E3D10">
              <w:rPr>
                <w:rFonts w:ascii="Arial" w:hAnsi="Arial" w:cs="Arial"/>
                <w:color w:val="000000" w:themeColor="text1"/>
                <w:sz w:val="18"/>
                <w:szCs w:val="18"/>
              </w:rPr>
              <w:t>B</w:t>
            </w:r>
          </w:p>
        </w:tc>
        <w:tc>
          <w:tcPr>
            <w:tcW w:w="1078" w:type="dxa"/>
            <w:tcBorders>
              <w:top w:val="nil"/>
              <w:bottom w:val="nil"/>
            </w:tcBorders>
            <w:vAlign w:val="center"/>
          </w:tcPr>
          <w:p w14:paraId="51CF4DF0" w14:textId="15CEE05C"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-2.8</w:t>
            </w:r>
            <w:r w:rsidRPr="00273132">
              <w:rPr>
                <w:rFonts w:ascii="Arial" w:hAnsi="Arial" w:cs="Arial"/>
                <w:color w:val="000000" w:themeColor="text1"/>
                <w:sz w:val="18"/>
                <w:szCs w:val="18"/>
              </w:rPr>
              <w:t>%</w:t>
            </w:r>
          </w:p>
        </w:tc>
        <w:tc>
          <w:tcPr>
            <w:tcW w:w="1355" w:type="dxa"/>
            <w:tcBorders>
              <w:top w:val="nil"/>
              <w:bottom w:val="nil"/>
            </w:tcBorders>
            <w:vAlign w:val="center"/>
          </w:tcPr>
          <w:p w14:paraId="18EDBF3D" w14:textId="26DD7AD7" w:rsidR="00330ACD" w:rsidRPr="00FB41A2" w:rsidRDefault="00330ACD" w:rsidP="00330A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r w:rsidRPr="00273132">
              <w:rPr>
                <w:rFonts w:ascii="Arial" w:hAnsi="Arial" w:cs="Arial"/>
                <w:color w:val="000000" w:themeColor="text1"/>
                <w:sz w:val="18"/>
                <w:szCs w:val="18"/>
              </w:rPr>
              <w:t>%</w:t>
            </w:r>
          </w:p>
        </w:tc>
      </w:tr>
      <w:tr w:rsidR="00330ACD" w:rsidRPr="00525982" w14:paraId="30CC2DC3" w14:textId="77777777" w:rsidTr="00FC39C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1F162747" w14:textId="193B94CA" w:rsidR="00330ACD" w:rsidRPr="00FB41A2" w:rsidRDefault="00330ACD" w:rsidP="00330ACD">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vAlign w:val="center"/>
          </w:tcPr>
          <w:p w14:paraId="2FED9920" w14:textId="684B83D8"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852B5">
              <w:rPr>
                <w:rFonts w:ascii="Arial" w:hAnsi="Arial" w:cs="Arial"/>
                <w:color w:val="000000" w:themeColor="text1"/>
                <w:sz w:val="18"/>
                <w:szCs w:val="18"/>
              </w:rPr>
              <w:t>$</w:t>
            </w:r>
            <w:r w:rsidR="00176974">
              <w:rPr>
                <w:rFonts w:ascii="Arial" w:hAnsi="Arial" w:cs="Arial"/>
                <w:color w:val="000000" w:themeColor="text1"/>
                <w:sz w:val="18"/>
                <w:szCs w:val="18"/>
              </w:rPr>
              <w:t>73</w:t>
            </w:r>
            <w:r w:rsidRPr="005852B5">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49181B4B" w14:textId="6A1C8C49" w:rsidR="00330ACD" w:rsidRPr="00FB41A2" w:rsidRDefault="00176974"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+2.8</w:t>
            </w:r>
            <w:r w:rsidR="00330ACD" w:rsidRPr="00E912C0">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3CDBEEB4" w14:textId="20B57EA9"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176974">
              <w:rPr>
                <w:rFonts w:ascii="Arial" w:hAnsi="Arial" w:cs="Arial"/>
                <w:color w:val="000000" w:themeColor="text1"/>
                <w:sz w:val="18"/>
                <w:szCs w:val="18"/>
              </w:rPr>
              <w:t>9.0</w:t>
            </w:r>
            <w:r w:rsidRPr="00E912C0">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C613CCA" w14:textId="163C1AA5"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Processed chicken</w:t>
            </w:r>
          </w:p>
        </w:tc>
        <w:tc>
          <w:tcPr>
            <w:tcW w:w="990" w:type="dxa"/>
            <w:tcBorders>
              <w:top w:val="nil"/>
              <w:bottom w:val="nil"/>
            </w:tcBorders>
            <w:shd w:val="clear" w:color="auto" w:fill="D9D9D9" w:themeFill="background1" w:themeFillShade="D9"/>
            <w:vAlign w:val="center"/>
          </w:tcPr>
          <w:p w14:paraId="19660394" w14:textId="5EED1963"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62ACB">
              <w:rPr>
                <w:rFonts w:ascii="Arial" w:hAnsi="Arial" w:cs="Arial"/>
                <w:color w:val="000000" w:themeColor="text1"/>
                <w:sz w:val="18"/>
                <w:szCs w:val="18"/>
              </w:rPr>
              <w:t>$</w:t>
            </w:r>
            <w:r w:rsidR="00174C38">
              <w:rPr>
                <w:rFonts w:ascii="Arial" w:hAnsi="Arial" w:cs="Arial"/>
                <w:color w:val="000000" w:themeColor="text1"/>
                <w:sz w:val="18"/>
                <w:szCs w:val="18"/>
              </w:rPr>
              <w:t>722</w:t>
            </w:r>
            <w:r w:rsidRPr="00244126">
              <w:rPr>
                <w:rFonts w:ascii="Arial" w:hAnsi="Arial" w:cs="Arial"/>
                <w:color w:val="000000" w:themeColor="text1"/>
                <w:sz w:val="18"/>
                <w:szCs w:val="18"/>
              </w:rPr>
              <w:t>M</w:t>
            </w:r>
          </w:p>
        </w:tc>
        <w:tc>
          <w:tcPr>
            <w:tcW w:w="1078" w:type="dxa"/>
            <w:tcBorders>
              <w:top w:val="nil"/>
              <w:bottom w:val="nil"/>
            </w:tcBorders>
            <w:shd w:val="clear" w:color="auto" w:fill="D9D9D9" w:themeFill="background1" w:themeFillShade="D9"/>
            <w:vAlign w:val="center"/>
          </w:tcPr>
          <w:p w14:paraId="79A3F158" w14:textId="2A38A93D"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174C38">
              <w:rPr>
                <w:rFonts w:ascii="Arial" w:hAnsi="Arial" w:cs="Arial"/>
                <w:color w:val="000000" w:themeColor="text1"/>
                <w:sz w:val="18"/>
                <w:szCs w:val="18"/>
              </w:rPr>
              <w:t>10.5</w:t>
            </w:r>
            <w:r w:rsidRPr="00273132">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216EC018" w14:textId="1AD02838" w:rsidR="00330ACD" w:rsidRPr="00FB41A2" w:rsidRDefault="00330ACD" w:rsidP="00330A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73132">
              <w:rPr>
                <w:rFonts w:ascii="Arial" w:hAnsi="Arial" w:cs="Arial"/>
                <w:color w:val="000000" w:themeColor="text1"/>
                <w:sz w:val="18"/>
                <w:szCs w:val="18"/>
              </w:rPr>
              <w:t>-</w:t>
            </w:r>
            <w:r w:rsidR="00174C38">
              <w:rPr>
                <w:rFonts w:ascii="Arial" w:hAnsi="Arial" w:cs="Arial"/>
                <w:color w:val="000000" w:themeColor="text1"/>
                <w:sz w:val="18"/>
                <w:szCs w:val="18"/>
              </w:rPr>
              <w:t>6.3</w:t>
            </w:r>
            <w:r w:rsidRPr="00273132">
              <w:rPr>
                <w:rFonts w:ascii="Arial" w:hAnsi="Arial" w:cs="Arial"/>
                <w:color w:val="000000" w:themeColor="text1"/>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266F9BD5" w:rsidR="00963883" w:rsidRPr="00797BB8" w:rsidRDefault="00963883" w:rsidP="00963883">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Sour</w:t>
      </w:r>
      <w:r w:rsidR="005B62E8" w:rsidRPr="00797BB8">
        <w:rPr>
          <w:rFonts w:ascii="Arial" w:hAnsi="Arial" w:cs="Arial"/>
          <w:color w:val="7F7F7F" w:themeColor="text1" w:themeTint="80"/>
          <w:sz w:val="16"/>
          <w:szCs w:val="16"/>
        </w:rPr>
        <w:t xml:space="preserve">ce: </w:t>
      </w:r>
      <w:proofErr w:type="spellStart"/>
      <w:r w:rsidR="00FB48FE" w:rsidRPr="00797BB8">
        <w:rPr>
          <w:rFonts w:ascii="Arial" w:hAnsi="Arial" w:cs="Arial"/>
          <w:color w:val="7F7F7F" w:themeColor="text1" w:themeTint="80"/>
          <w:sz w:val="16"/>
          <w:szCs w:val="16"/>
        </w:rPr>
        <w:t>Circana</w:t>
      </w:r>
      <w:proofErr w:type="spellEnd"/>
      <w:r w:rsidR="005B62E8" w:rsidRPr="00797BB8">
        <w:rPr>
          <w:rFonts w:ascii="Arial" w:hAnsi="Arial" w:cs="Arial"/>
          <w:color w:val="7F7F7F" w:themeColor="text1" w:themeTint="80"/>
          <w:sz w:val="16"/>
          <w:szCs w:val="16"/>
        </w:rPr>
        <w:t xml:space="preserve">, </w:t>
      </w:r>
      <w:r w:rsidR="009C03F9" w:rsidRPr="00797BB8">
        <w:rPr>
          <w:rFonts w:ascii="Arial" w:hAnsi="Arial" w:cs="Arial"/>
          <w:color w:val="7F7F7F" w:themeColor="text1" w:themeTint="80"/>
          <w:sz w:val="16"/>
          <w:szCs w:val="16"/>
        </w:rPr>
        <w:t xml:space="preserve">Integrated </w:t>
      </w:r>
      <w:r w:rsidR="007404C4" w:rsidRPr="00797BB8">
        <w:rPr>
          <w:rFonts w:ascii="Arial" w:hAnsi="Arial" w:cs="Arial"/>
          <w:color w:val="7F7F7F" w:themeColor="text1" w:themeTint="80"/>
          <w:sz w:val="16"/>
          <w:szCs w:val="16"/>
        </w:rPr>
        <w:t xml:space="preserve">Fresh, </w:t>
      </w:r>
      <w:r w:rsidR="005B62E8" w:rsidRPr="00797BB8">
        <w:rPr>
          <w:rFonts w:ascii="Arial" w:hAnsi="Arial" w:cs="Arial"/>
          <w:color w:val="7F7F7F" w:themeColor="text1" w:themeTint="80"/>
          <w:sz w:val="16"/>
          <w:szCs w:val="16"/>
        </w:rPr>
        <w:t xml:space="preserve">Total US, </w:t>
      </w:r>
      <w:r w:rsidR="00D85BA4">
        <w:rPr>
          <w:rFonts w:ascii="Arial" w:hAnsi="Arial" w:cs="Arial"/>
          <w:color w:val="7F7F7F" w:themeColor="text1" w:themeTint="80"/>
          <w:sz w:val="16"/>
          <w:szCs w:val="16"/>
        </w:rPr>
        <w:t>MULO+</w:t>
      </w:r>
    </w:p>
    <w:p w14:paraId="3AE91CB4" w14:textId="77777777" w:rsidR="00FB7738" w:rsidRDefault="00FB7738" w:rsidP="006A3BE6">
      <w:pPr>
        <w:pStyle w:val="NoSpacing"/>
        <w:rPr>
          <w:rFonts w:ascii="Arial" w:hAnsi="Arial" w:cs="Arial"/>
          <w:b/>
          <w:color w:val="595959" w:themeColor="text1" w:themeTint="A6"/>
          <w:sz w:val="24"/>
          <w:szCs w:val="24"/>
        </w:rPr>
      </w:pPr>
    </w:p>
    <w:p w14:paraId="6D1535A7" w14:textId="0218F634"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503D67">
        <w:rPr>
          <w:rFonts w:ascii="Arial" w:eastAsia="Times New Roman" w:hAnsi="Arial" w:cs="Arial"/>
          <w:sz w:val="20"/>
          <w:szCs w:val="20"/>
        </w:rPr>
        <w:t xml:space="preserve">In addition to the strong performance by chicken in the current environment, grinds did well also. Ground beef, despite the inflation seen in the beef category, increased pound sales by </w:t>
      </w:r>
      <w:r w:rsidR="00F63B3F">
        <w:rPr>
          <w:rFonts w:ascii="Arial" w:eastAsia="Times New Roman" w:hAnsi="Arial" w:cs="Arial"/>
          <w:sz w:val="20"/>
          <w:szCs w:val="20"/>
        </w:rPr>
        <w:t>2.3</w:t>
      </w:r>
      <w:r w:rsidR="00503D67">
        <w:rPr>
          <w:rFonts w:ascii="Arial" w:eastAsia="Times New Roman" w:hAnsi="Arial" w:cs="Arial"/>
          <w:sz w:val="20"/>
          <w:szCs w:val="20"/>
        </w:rPr>
        <w:t xml:space="preserve">% in </w:t>
      </w:r>
      <w:r w:rsidR="00F63B3F">
        <w:rPr>
          <w:rFonts w:ascii="Arial" w:eastAsia="Times New Roman" w:hAnsi="Arial" w:cs="Arial"/>
          <w:sz w:val="20"/>
          <w:szCs w:val="20"/>
        </w:rPr>
        <w:t>May</w:t>
      </w:r>
      <w:r w:rsidR="00503D67">
        <w:rPr>
          <w:rFonts w:ascii="Arial" w:eastAsia="Times New Roman" w:hAnsi="Arial" w:cs="Arial"/>
          <w:sz w:val="20"/>
          <w:szCs w:val="20"/>
        </w:rPr>
        <w:t xml:space="preserve">. In the full year view, </w:t>
      </w:r>
      <w:r w:rsidR="00F63B3F">
        <w:rPr>
          <w:rFonts w:ascii="Arial" w:eastAsia="Times New Roman" w:hAnsi="Arial" w:cs="Arial"/>
          <w:sz w:val="20"/>
          <w:szCs w:val="20"/>
        </w:rPr>
        <w:t xml:space="preserve">beef </w:t>
      </w:r>
      <w:r w:rsidR="00503D67">
        <w:rPr>
          <w:rFonts w:ascii="Arial" w:eastAsia="Times New Roman" w:hAnsi="Arial" w:cs="Arial"/>
          <w:sz w:val="20"/>
          <w:szCs w:val="20"/>
        </w:rPr>
        <w:t>pounds increased 1.</w:t>
      </w:r>
      <w:r w:rsidR="00F63B3F">
        <w:rPr>
          <w:rFonts w:ascii="Arial" w:eastAsia="Times New Roman" w:hAnsi="Arial" w:cs="Arial"/>
          <w:sz w:val="20"/>
          <w:szCs w:val="20"/>
        </w:rPr>
        <w:t>7</w:t>
      </w:r>
      <w:r w:rsidR="00503D67">
        <w:rPr>
          <w:rFonts w:ascii="Arial" w:eastAsia="Times New Roman" w:hAnsi="Arial" w:cs="Arial"/>
          <w:sz w:val="20"/>
          <w:szCs w:val="20"/>
        </w:rPr>
        <w:t>%. Ground chicken and pork</w:t>
      </w:r>
      <w:r w:rsidR="00EF5381">
        <w:rPr>
          <w:rFonts w:ascii="Arial" w:eastAsia="Times New Roman" w:hAnsi="Arial" w:cs="Arial"/>
          <w:sz w:val="20"/>
          <w:szCs w:val="20"/>
        </w:rPr>
        <w:t xml:space="preserve"> also had strong performances</w:t>
      </w:r>
      <w:r w:rsidR="00503D67">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107"/>
        <w:gridCol w:w="883"/>
        <w:gridCol w:w="1277"/>
        <w:gridCol w:w="1333"/>
      </w:tblGrid>
      <w:tr w:rsidR="000134EB" w:rsidRPr="0003007F" w14:paraId="668C754B" w14:textId="77777777" w:rsidTr="00FB48F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8" w:name="_Hlk137219473"/>
          </w:p>
        </w:tc>
        <w:tc>
          <w:tcPr>
            <w:tcW w:w="1744" w:type="dxa"/>
            <w:gridSpan w:val="3"/>
            <w:tcBorders>
              <w:top w:val="nil"/>
              <w:bottom w:val="nil"/>
            </w:tcBorders>
            <w:shd w:val="clear" w:color="auto" w:fill="17365D" w:themeFill="text2" w:themeFillShade="BF"/>
          </w:tcPr>
          <w:p w14:paraId="0F0287FF" w14:textId="07C33A64" w:rsidR="000134EB" w:rsidRPr="00AB1306" w:rsidRDefault="000134EB" w:rsidP="000134E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9564D5">
              <w:rPr>
                <w:rFonts w:ascii="Arial" w:hAnsi="Arial" w:cs="Arial"/>
                <w:color w:val="FFFFFF" w:themeColor="background1"/>
                <w:sz w:val="18"/>
                <w:szCs w:val="18"/>
              </w:rPr>
              <w:t xml:space="preserve">May </w:t>
            </w:r>
            <w:r w:rsidR="001F639F">
              <w:rPr>
                <w:rFonts w:ascii="Arial" w:hAnsi="Arial" w:cs="Arial"/>
                <w:color w:val="FFFFFF" w:themeColor="background1"/>
                <w:sz w:val="18"/>
                <w:szCs w:val="18"/>
              </w:rPr>
              <w:t>2024</w:t>
            </w:r>
          </w:p>
        </w:tc>
        <w:tc>
          <w:tcPr>
            <w:tcW w:w="3493" w:type="dxa"/>
            <w:gridSpan w:val="4"/>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3" w:type="dxa"/>
            <w:gridSpan w:val="3"/>
            <w:tcBorders>
              <w:top w:val="nil"/>
              <w:bottom w:val="nil"/>
            </w:tcBorders>
            <w:shd w:val="clear" w:color="auto" w:fill="17365D" w:themeFill="text2" w:themeFillShade="BF"/>
          </w:tcPr>
          <w:p w14:paraId="6A29F442" w14:textId="6C10F3D4" w:rsidR="000134EB" w:rsidRPr="0003007F"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DFB453A" w14:textId="77777777" w:rsidTr="00461A7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0DB7328C"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481AE167"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45FD4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7A11F32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1DAA8DD1"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tcPr>
          <w:p w14:paraId="330F52A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6DE1E42B"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0D6C1A" w:rsidRPr="00E363CB" w14:paraId="7C3DB727" w14:textId="77777777" w:rsidTr="00DC4C2A">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10A229C3"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3FF1">
              <w:rPr>
                <w:rFonts w:ascii="Arial" w:hAnsi="Arial" w:cs="Arial"/>
                <w:color w:val="000000" w:themeColor="text1"/>
                <w:sz w:val="18"/>
                <w:szCs w:val="18"/>
              </w:rPr>
              <w:t>$</w:t>
            </w:r>
            <w:r w:rsidR="00063AFE">
              <w:rPr>
                <w:rFonts w:ascii="Arial" w:hAnsi="Arial" w:cs="Arial"/>
                <w:color w:val="000000" w:themeColor="text1"/>
                <w:sz w:val="18"/>
                <w:szCs w:val="18"/>
              </w:rPr>
              <w:t>1.</w:t>
            </w:r>
            <w:r w:rsidR="009564D5">
              <w:rPr>
                <w:rFonts w:ascii="Arial" w:hAnsi="Arial" w:cs="Arial"/>
                <w:color w:val="000000" w:themeColor="text1"/>
                <w:sz w:val="18"/>
                <w:szCs w:val="18"/>
              </w:rPr>
              <w:t>5</w:t>
            </w:r>
            <w:r>
              <w:rPr>
                <w:rFonts w:ascii="Arial" w:hAnsi="Arial" w:cs="Arial"/>
                <w:color w:val="000000" w:themeColor="text1"/>
                <w:sz w:val="18"/>
                <w:szCs w:val="18"/>
              </w:rPr>
              <w:t>B</w:t>
            </w:r>
          </w:p>
        </w:tc>
        <w:tc>
          <w:tcPr>
            <w:tcW w:w="1075" w:type="dxa"/>
            <w:gridSpan w:val="2"/>
            <w:tcBorders>
              <w:top w:val="nil"/>
              <w:left w:val="nil"/>
              <w:bottom w:val="nil"/>
              <w:right w:val="nil"/>
            </w:tcBorders>
            <w:vAlign w:val="center"/>
          </w:tcPr>
          <w:p w14:paraId="2F6F5924" w14:textId="5CB17F1D"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7.2</w:t>
            </w:r>
            <w:r w:rsidRPr="00F56923">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18408993"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2.3</w:t>
            </w:r>
            <w:r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7EA8213D" w14:textId="01F943D4" w:rsidR="000D6C1A" w:rsidRPr="00FB41A2" w:rsidRDefault="000D6C1A" w:rsidP="000D6C1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Ground beef</w:t>
            </w:r>
          </w:p>
        </w:tc>
        <w:tc>
          <w:tcPr>
            <w:tcW w:w="990" w:type="dxa"/>
            <w:gridSpan w:val="2"/>
            <w:tcBorders>
              <w:top w:val="nil"/>
              <w:left w:val="nil"/>
              <w:bottom w:val="nil"/>
              <w:right w:val="nil"/>
            </w:tcBorders>
            <w:vAlign w:val="center"/>
          </w:tcPr>
          <w:p w14:paraId="13102BEE" w14:textId="29431AEF"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44C80">
              <w:rPr>
                <w:rFonts w:ascii="Arial" w:hAnsi="Arial" w:cs="Arial"/>
                <w:color w:val="000000" w:themeColor="text1"/>
                <w:sz w:val="18"/>
                <w:szCs w:val="18"/>
              </w:rPr>
              <w:t>$</w:t>
            </w:r>
            <w:r w:rsidR="009564D5">
              <w:rPr>
                <w:rFonts w:ascii="Arial" w:hAnsi="Arial" w:cs="Arial"/>
                <w:color w:val="000000" w:themeColor="text1"/>
                <w:sz w:val="18"/>
                <w:szCs w:val="18"/>
              </w:rPr>
              <w:t>14.5</w:t>
            </w:r>
            <w:r w:rsidRPr="00144C80">
              <w:rPr>
                <w:rFonts w:ascii="Arial" w:hAnsi="Arial" w:cs="Arial"/>
                <w:color w:val="000000" w:themeColor="text1"/>
                <w:sz w:val="18"/>
                <w:szCs w:val="18"/>
              </w:rPr>
              <w:t>B</w:t>
            </w:r>
          </w:p>
        </w:tc>
        <w:tc>
          <w:tcPr>
            <w:tcW w:w="1277" w:type="dxa"/>
            <w:tcBorders>
              <w:top w:val="nil"/>
              <w:left w:val="nil"/>
              <w:bottom w:val="nil"/>
              <w:right w:val="nil"/>
            </w:tcBorders>
            <w:vAlign w:val="center"/>
          </w:tcPr>
          <w:p w14:paraId="6E720C38" w14:textId="0ACEF8FC"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8.</w:t>
            </w:r>
            <w:r w:rsidR="009564D5">
              <w:rPr>
                <w:rFonts w:ascii="Arial" w:hAnsi="Arial" w:cs="Arial"/>
                <w:color w:val="000000" w:themeColor="text1"/>
                <w:sz w:val="18"/>
                <w:szCs w:val="18"/>
              </w:rPr>
              <w:t>7</w:t>
            </w:r>
            <w:r w:rsidRPr="00157E3F">
              <w:rPr>
                <w:rFonts w:ascii="Arial" w:hAnsi="Arial" w:cs="Arial"/>
                <w:color w:val="000000" w:themeColor="text1"/>
                <w:sz w:val="18"/>
                <w:szCs w:val="18"/>
              </w:rPr>
              <w:t>%</w:t>
            </w:r>
          </w:p>
        </w:tc>
        <w:tc>
          <w:tcPr>
            <w:tcW w:w="1333" w:type="dxa"/>
            <w:tcBorders>
              <w:top w:val="nil"/>
              <w:left w:val="nil"/>
              <w:bottom w:val="nil"/>
            </w:tcBorders>
            <w:vAlign w:val="center"/>
          </w:tcPr>
          <w:p w14:paraId="284BBA7B" w14:textId="4D3DD87D"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1.</w:t>
            </w:r>
            <w:r w:rsidR="009564D5">
              <w:rPr>
                <w:rFonts w:ascii="Arial" w:hAnsi="Arial" w:cs="Arial"/>
                <w:color w:val="000000" w:themeColor="text1"/>
                <w:sz w:val="18"/>
                <w:szCs w:val="18"/>
              </w:rPr>
              <w:t>7</w:t>
            </w:r>
            <w:r w:rsidRPr="00157E3F">
              <w:rPr>
                <w:rFonts w:ascii="Arial" w:hAnsi="Arial" w:cs="Arial"/>
                <w:color w:val="000000" w:themeColor="text1"/>
                <w:sz w:val="18"/>
                <w:szCs w:val="18"/>
              </w:rPr>
              <w:t>%</w:t>
            </w:r>
          </w:p>
        </w:tc>
      </w:tr>
      <w:tr w:rsidR="000D6C1A" w:rsidRPr="00FB41A2" w14:paraId="2937B14D" w14:textId="77777777" w:rsidTr="00DC4C2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22235F2D"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10956">
              <w:rPr>
                <w:rFonts w:ascii="Arial" w:hAnsi="Arial" w:cs="Arial"/>
                <w:color w:val="000000" w:themeColor="text1"/>
                <w:sz w:val="18"/>
                <w:szCs w:val="18"/>
              </w:rPr>
              <w:t>$</w:t>
            </w:r>
            <w:r w:rsidR="009564D5">
              <w:rPr>
                <w:rFonts w:ascii="Arial" w:hAnsi="Arial" w:cs="Arial"/>
                <w:color w:val="000000" w:themeColor="text1"/>
                <w:sz w:val="18"/>
                <w:szCs w:val="18"/>
              </w:rPr>
              <w:t>180</w:t>
            </w:r>
            <w:r w:rsidRPr="00010956">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5DF1040" w14:textId="5A4F8FE1"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3.2</w:t>
            </w:r>
            <w:r w:rsidRPr="00F5692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1709B2D6"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6.1</w:t>
            </w:r>
            <w:r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63AEF9F" w14:textId="2332D2BC"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7E07A52A" w14:textId="5AAA04C3"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44C80">
              <w:rPr>
                <w:rFonts w:ascii="Arial" w:hAnsi="Arial" w:cs="Arial"/>
                <w:color w:val="000000" w:themeColor="text1"/>
                <w:sz w:val="18"/>
                <w:szCs w:val="18"/>
              </w:rPr>
              <w:t>$</w:t>
            </w:r>
            <w:r w:rsidR="00503D67">
              <w:rPr>
                <w:rFonts w:ascii="Arial" w:hAnsi="Arial" w:cs="Arial"/>
                <w:color w:val="000000" w:themeColor="text1"/>
                <w:sz w:val="18"/>
                <w:szCs w:val="18"/>
              </w:rPr>
              <w:t>1.9</w:t>
            </w:r>
            <w:r w:rsidRPr="00144C80">
              <w:rPr>
                <w:rFonts w:ascii="Arial" w:hAnsi="Arial" w:cs="Arial"/>
                <w:color w:val="000000" w:themeColor="text1"/>
                <w:sz w:val="18"/>
                <w:szCs w:val="18"/>
              </w:rPr>
              <w:t>B</w:t>
            </w:r>
          </w:p>
        </w:tc>
        <w:tc>
          <w:tcPr>
            <w:tcW w:w="1277" w:type="dxa"/>
            <w:tcBorders>
              <w:top w:val="nil"/>
              <w:bottom w:val="nil"/>
            </w:tcBorders>
            <w:shd w:val="clear" w:color="auto" w:fill="D9D9D9" w:themeFill="background1" w:themeFillShade="D9"/>
            <w:vAlign w:val="center"/>
          </w:tcPr>
          <w:p w14:paraId="06582683" w14:textId="68EAADFA"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9564D5">
              <w:rPr>
                <w:rFonts w:ascii="Arial" w:hAnsi="Arial" w:cs="Arial"/>
                <w:color w:val="000000" w:themeColor="text1"/>
                <w:sz w:val="18"/>
                <w:szCs w:val="18"/>
              </w:rPr>
              <w:t>3.7</w:t>
            </w:r>
            <w:r w:rsidRPr="00157E3F">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2C6CE5DB"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4.</w:t>
            </w:r>
            <w:r w:rsidR="009564D5">
              <w:rPr>
                <w:rFonts w:ascii="Arial" w:hAnsi="Arial" w:cs="Arial"/>
                <w:color w:val="000000" w:themeColor="text1"/>
                <w:sz w:val="18"/>
                <w:szCs w:val="18"/>
              </w:rPr>
              <w:t>8</w:t>
            </w:r>
            <w:r w:rsidRPr="00157E3F">
              <w:rPr>
                <w:rFonts w:ascii="Arial" w:hAnsi="Arial" w:cs="Arial"/>
                <w:color w:val="000000" w:themeColor="text1"/>
                <w:sz w:val="18"/>
                <w:szCs w:val="18"/>
              </w:rPr>
              <w:t>%</w:t>
            </w:r>
          </w:p>
        </w:tc>
      </w:tr>
      <w:tr w:rsidR="000D6C1A" w:rsidRPr="00525982" w14:paraId="748604F9" w14:textId="77777777" w:rsidTr="00DC4C2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47215B9A"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10956">
              <w:rPr>
                <w:rFonts w:ascii="Arial" w:hAnsi="Arial" w:cs="Arial"/>
                <w:color w:val="000000" w:themeColor="text1"/>
                <w:sz w:val="18"/>
                <w:szCs w:val="18"/>
              </w:rPr>
              <w:t>$</w:t>
            </w:r>
            <w:r w:rsidR="009564D5">
              <w:rPr>
                <w:rFonts w:ascii="Arial" w:hAnsi="Arial" w:cs="Arial"/>
                <w:color w:val="000000" w:themeColor="text1"/>
                <w:sz w:val="18"/>
                <w:szCs w:val="18"/>
              </w:rPr>
              <w:t>30</w:t>
            </w:r>
            <w:r w:rsidRPr="00010956">
              <w:rPr>
                <w:rFonts w:ascii="Arial" w:hAnsi="Arial" w:cs="Arial"/>
                <w:color w:val="000000" w:themeColor="text1"/>
                <w:sz w:val="18"/>
                <w:szCs w:val="18"/>
              </w:rPr>
              <w:t>M</w:t>
            </w:r>
          </w:p>
        </w:tc>
        <w:tc>
          <w:tcPr>
            <w:tcW w:w="1075" w:type="dxa"/>
            <w:gridSpan w:val="2"/>
            <w:tcBorders>
              <w:top w:val="nil"/>
              <w:bottom w:val="nil"/>
            </w:tcBorders>
            <w:vAlign w:val="center"/>
          </w:tcPr>
          <w:p w14:paraId="0F7E8F8D" w14:textId="16385CBA"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4.6</w:t>
            </w:r>
            <w:r w:rsidRPr="00F5692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056710CC"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3.6</w:t>
            </w:r>
            <w:r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vAlign w:val="center"/>
          </w:tcPr>
          <w:p w14:paraId="45C147E0" w14:textId="6BAC8EA0" w:rsidR="000D6C1A" w:rsidRPr="00FB41A2" w:rsidRDefault="000D6C1A" w:rsidP="000D6C1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chicken</w:t>
            </w:r>
          </w:p>
        </w:tc>
        <w:tc>
          <w:tcPr>
            <w:tcW w:w="990" w:type="dxa"/>
            <w:gridSpan w:val="2"/>
            <w:tcBorders>
              <w:top w:val="nil"/>
              <w:bottom w:val="nil"/>
            </w:tcBorders>
            <w:vAlign w:val="center"/>
          </w:tcPr>
          <w:p w14:paraId="22EF3248" w14:textId="6321CCAC"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B4CCA">
              <w:rPr>
                <w:rFonts w:ascii="Arial" w:hAnsi="Arial" w:cs="Arial"/>
                <w:color w:val="000000" w:themeColor="text1"/>
                <w:sz w:val="18"/>
                <w:szCs w:val="18"/>
              </w:rPr>
              <w:t>$</w:t>
            </w:r>
            <w:r w:rsidR="00503D67">
              <w:rPr>
                <w:rFonts w:ascii="Arial" w:hAnsi="Arial" w:cs="Arial"/>
                <w:color w:val="000000" w:themeColor="text1"/>
                <w:sz w:val="18"/>
                <w:szCs w:val="18"/>
              </w:rPr>
              <w:t>31</w:t>
            </w:r>
            <w:r w:rsidR="009564D5">
              <w:rPr>
                <w:rFonts w:ascii="Arial" w:hAnsi="Arial" w:cs="Arial"/>
                <w:color w:val="000000" w:themeColor="text1"/>
                <w:sz w:val="18"/>
                <w:szCs w:val="18"/>
              </w:rPr>
              <w:t>2</w:t>
            </w:r>
            <w:r w:rsidRPr="001B4CCA">
              <w:rPr>
                <w:rFonts w:ascii="Arial" w:hAnsi="Arial" w:cs="Arial"/>
                <w:color w:val="000000" w:themeColor="text1"/>
                <w:sz w:val="18"/>
                <w:szCs w:val="18"/>
              </w:rPr>
              <w:t>M</w:t>
            </w:r>
          </w:p>
        </w:tc>
        <w:tc>
          <w:tcPr>
            <w:tcW w:w="1277" w:type="dxa"/>
            <w:tcBorders>
              <w:top w:val="nil"/>
              <w:bottom w:val="nil"/>
            </w:tcBorders>
            <w:vAlign w:val="center"/>
          </w:tcPr>
          <w:p w14:paraId="4D68C47B" w14:textId="2776A950"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1</w:t>
            </w:r>
            <w:r w:rsidR="009564D5">
              <w:rPr>
                <w:rFonts w:ascii="Arial" w:hAnsi="Arial" w:cs="Arial"/>
                <w:color w:val="000000" w:themeColor="text1"/>
                <w:sz w:val="18"/>
                <w:szCs w:val="18"/>
              </w:rPr>
              <w:t>0.4</w:t>
            </w:r>
            <w:r w:rsidRPr="00157E3F">
              <w:rPr>
                <w:rFonts w:ascii="Arial" w:hAnsi="Arial" w:cs="Arial"/>
                <w:color w:val="000000" w:themeColor="text1"/>
                <w:sz w:val="18"/>
                <w:szCs w:val="18"/>
              </w:rPr>
              <w:t>%</w:t>
            </w:r>
          </w:p>
        </w:tc>
        <w:tc>
          <w:tcPr>
            <w:tcW w:w="1333" w:type="dxa"/>
            <w:tcBorders>
              <w:top w:val="nil"/>
              <w:bottom w:val="nil"/>
            </w:tcBorders>
            <w:vAlign w:val="center"/>
          </w:tcPr>
          <w:p w14:paraId="474671BC" w14:textId="54A9F71B"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1</w:t>
            </w:r>
            <w:r w:rsidR="009564D5">
              <w:rPr>
                <w:rFonts w:ascii="Arial" w:hAnsi="Arial" w:cs="Arial"/>
                <w:color w:val="000000" w:themeColor="text1"/>
                <w:sz w:val="18"/>
                <w:szCs w:val="18"/>
              </w:rPr>
              <w:t>1.4</w:t>
            </w:r>
            <w:r w:rsidRPr="00157E3F">
              <w:rPr>
                <w:rFonts w:ascii="Arial" w:hAnsi="Arial" w:cs="Arial"/>
                <w:color w:val="000000" w:themeColor="text1"/>
                <w:sz w:val="18"/>
                <w:szCs w:val="18"/>
              </w:rPr>
              <w:t>%</w:t>
            </w:r>
          </w:p>
        </w:tc>
      </w:tr>
      <w:tr w:rsidR="000D6C1A" w:rsidRPr="00FB41A2" w14:paraId="22B1D63C" w14:textId="77777777" w:rsidTr="00DC4C2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46246D5F"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10956">
              <w:rPr>
                <w:rFonts w:ascii="Arial" w:hAnsi="Arial" w:cs="Arial"/>
                <w:color w:val="000000" w:themeColor="text1"/>
                <w:sz w:val="18"/>
                <w:szCs w:val="18"/>
              </w:rPr>
              <w:t>$</w:t>
            </w:r>
            <w:r w:rsidR="009564D5">
              <w:rPr>
                <w:rFonts w:ascii="Arial" w:hAnsi="Arial" w:cs="Arial"/>
                <w:color w:val="000000" w:themeColor="text1"/>
                <w:sz w:val="18"/>
                <w:szCs w:val="18"/>
              </w:rPr>
              <w:t>19</w:t>
            </w:r>
            <w:r w:rsidRPr="00010956">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2625E3CA" w14:textId="348235CB"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1.2</w:t>
            </w:r>
            <w:r w:rsidRPr="00F5692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769021A2"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6923">
              <w:rPr>
                <w:rFonts w:ascii="Arial" w:hAnsi="Arial" w:cs="Arial"/>
                <w:color w:val="000000" w:themeColor="text1"/>
                <w:sz w:val="18"/>
                <w:szCs w:val="18"/>
              </w:rPr>
              <w:t>+</w:t>
            </w:r>
            <w:r w:rsidR="009564D5">
              <w:rPr>
                <w:rFonts w:ascii="Arial" w:hAnsi="Arial" w:cs="Arial"/>
                <w:color w:val="000000" w:themeColor="text1"/>
                <w:sz w:val="18"/>
                <w:szCs w:val="18"/>
              </w:rPr>
              <w:t>2.7</w:t>
            </w:r>
            <w:r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256E6B65" w14:textId="026B8B23"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181AD012" w14:textId="339B695F"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B4CCA">
              <w:rPr>
                <w:rFonts w:ascii="Arial" w:hAnsi="Arial" w:cs="Arial"/>
                <w:color w:val="000000" w:themeColor="text1"/>
                <w:sz w:val="18"/>
                <w:szCs w:val="18"/>
              </w:rPr>
              <w:t>$</w:t>
            </w:r>
            <w:r w:rsidR="00503D67">
              <w:rPr>
                <w:rFonts w:ascii="Arial" w:hAnsi="Arial" w:cs="Arial"/>
                <w:color w:val="000000" w:themeColor="text1"/>
                <w:sz w:val="18"/>
                <w:szCs w:val="18"/>
              </w:rPr>
              <w:t>22</w:t>
            </w:r>
            <w:r w:rsidR="009564D5">
              <w:rPr>
                <w:rFonts w:ascii="Arial" w:hAnsi="Arial" w:cs="Arial"/>
                <w:color w:val="000000" w:themeColor="text1"/>
                <w:sz w:val="18"/>
                <w:szCs w:val="18"/>
              </w:rPr>
              <w:t>6</w:t>
            </w:r>
            <w:r w:rsidRPr="001B4CCA">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57ACF5DD" w14:textId="0D7B6E84"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5.</w:t>
            </w:r>
            <w:r w:rsidR="009564D5">
              <w:rPr>
                <w:rFonts w:ascii="Arial" w:hAnsi="Arial" w:cs="Arial"/>
                <w:color w:val="000000" w:themeColor="text1"/>
                <w:sz w:val="18"/>
                <w:szCs w:val="18"/>
              </w:rPr>
              <w:t>2</w:t>
            </w:r>
            <w:r w:rsidRPr="00157E3F">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0F37670D"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503D67">
              <w:rPr>
                <w:rFonts w:ascii="Arial" w:hAnsi="Arial" w:cs="Arial"/>
                <w:color w:val="000000" w:themeColor="text1"/>
                <w:sz w:val="18"/>
                <w:szCs w:val="18"/>
              </w:rPr>
              <w:t>8.</w:t>
            </w:r>
            <w:r w:rsidR="009564D5">
              <w:rPr>
                <w:rFonts w:ascii="Arial" w:hAnsi="Arial" w:cs="Arial"/>
                <w:color w:val="000000" w:themeColor="text1"/>
                <w:sz w:val="18"/>
                <w:szCs w:val="18"/>
              </w:rPr>
              <w:t>1</w:t>
            </w:r>
            <w:r w:rsidRPr="00157E3F">
              <w:rPr>
                <w:rFonts w:ascii="Arial" w:hAnsi="Arial" w:cs="Arial"/>
                <w:color w:val="000000" w:themeColor="text1"/>
                <w:sz w:val="18"/>
                <w:szCs w:val="18"/>
              </w:rPr>
              <w:t>%</w:t>
            </w:r>
          </w:p>
        </w:tc>
      </w:tr>
      <w:tr w:rsidR="000D6C1A" w:rsidRPr="00525982" w14:paraId="6A79E46F" w14:textId="77777777" w:rsidTr="00DC4C2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5572640C"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10956">
              <w:rPr>
                <w:rFonts w:ascii="Arial" w:hAnsi="Arial" w:cs="Arial"/>
                <w:color w:val="000000" w:themeColor="text1"/>
                <w:sz w:val="18"/>
                <w:szCs w:val="18"/>
              </w:rPr>
              <w:t>$</w:t>
            </w:r>
            <w:r w:rsidR="00503D67">
              <w:rPr>
                <w:rFonts w:ascii="Arial" w:hAnsi="Arial" w:cs="Arial"/>
                <w:color w:val="000000" w:themeColor="text1"/>
                <w:sz w:val="18"/>
                <w:szCs w:val="18"/>
              </w:rPr>
              <w:t>4</w:t>
            </w:r>
            <w:r w:rsidRPr="00010956">
              <w:rPr>
                <w:rFonts w:ascii="Arial" w:hAnsi="Arial" w:cs="Arial"/>
                <w:color w:val="000000" w:themeColor="text1"/>
                <w:sz w:val="18"/>
                <w:szCs w:val="18"/>
              </w:rPr>
              <w:t>M</w:t>
            </w:r>
          </w:p>
        </w:tc>
        <w:tc>
          <w:tcPr>
            <w:tcW w:w="1075" w:type="dxa"/>
            <w:gridSpan w:val="2"/>
            <w:tcBorders>
              <w:top w:val="nil"/>
              <w:left w:val="nil"/>
              <w:bottom w:val="nil"/>
              <w:right w:val="nil"/>
            </w:tcBorders>
            <w:vAlign w:val="center"/>
          </w:tcPr>
          <w:p w14:paraId="0ED96580" w14:textId="462B6FE7" w:rsidR="000D6C1A" w:rsidRPr="00FB41A2" w:rsidRDefault="00DC4C2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503D67">
              <w:rPr>
                <w:rFonts w:ascii="Arial" w:hAnsi="Arial" w:cs="Arial"/>
                <w:color w:val="000000" w:themeColor="text1"/>
                <w:sz w:val="18"/>
                <w:szCs w:val="18"/>
              </w:rPr>
              <w:t>1</w:t>
            </w:r>
            <w:r w:rsidR="009564D5">
              <w:rPr>
                <w:rFonts w:ascii="Arial" w:hAnsi="Arial" w:cs="Arial"/>
                <w:color w:val="000000" w:themeColor="text1"/>
                <w:sz w:val="18"/>
                <w:szCs w:val="18"/>
              </w:rPr>
              <w:t>4.5</w:t>
            </w:r>
            <w:r w:rsidR="000D6C1A" w:rsidRPr="00F56923">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758E642B" w:rsidR="000D6C1A" w:rsidRPr="00FB41A2" w:rsidRDefault="00DC4C2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9564D5">
              <w:rPr>
                <w:rFonts w:ascii="Arial" w:hAnsi="Arial" w:cs="Arial"/>
                <w:color w:val="000000" w:themeColor="text1"/>
                <w:sz w:val="18"/>
                <w:szCs w:val="18"/>
              </w:rPr>
              <w:t>6.1</w:t>
            </w:r>
            <w:r w:rsidR="000D6C1A"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33B65AC5" w14:textId="221080C5" w:rsidR="000D6C1A" w:rsidRPr="00FB41A2" w:rsidRDefault="000D6C1A" w:rsidP="000D6C1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lamb</w:t>
            </w:r>
          </w:p>
        </w:tc>
        <w:tc>
          <w:tcPr>
            <w:tcW w:w="990" w:type="dxa"/>
            <w:gridSpan w:val="2"/>
            <w:tcBorders>
              <w:top w:val="nil"/>
              <w:left w:val="nil"/>
              <w:bottom w:val="nil"/>
              <w:right w:val="nil"/>
            </w:tcBorders>
            <w:vAlign w:val="center"/>
          </w:tcPr>
          <w:p w14:paraId="75C50C28" w14:textId="41EBA8D3"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B4CCA">
              <w:rPr>
                <w:rFonts w:ascii="Arial" w:hAnsi="Arial" w:cs="Arial"/>
                <w:color w:val="000000" w:themeColor="text1"/>
                <w:sz w:val="18"/>
                <w:szCs w:val="18"/>
              </w:rPr>
              <w:t>$</w:t>
            </w:r>
            <w:r w:rsidR="009564D5">
              <w:rPr>
                <w:rFonts w:ascii="Arial" w:hAnsi="Arial" w:cs="Arial"/>
                <w:color w:val="000000" w:themeColor="text1"/>
                <w:sz w:val="18"/>
                <w:szCs w:val="18"/>
              </w:rPr>
              <w:t>52</w:t>
            </w:r>
            <w:r w:rsidRPr="001B4CCA">
              <w:rPr>
                <w:rFonts w:ascii="Arial" w:hAnsi="Arial" w:cs="Arial"/>
                <w:color w:val="000000" w:themeColor="text1"/>
                <w:sz w:val="18"/>
                <w:szCs w:val="18"/>
              </w:rPr>
              <w:t>M</w:t>
            </w:r>
          </w:p>
        </w:tc>
        <w:tc>
          <w:tcPr>
            <w:tcW w:w="1277" w:type="dxa"/>
            <w:tcBorders>
              <w:top w:val="nil"/>
              <w:left w:val="nil"/>
              <w:bottom w:val="nil"/>
              <w:right w:val="nil"/>
            </w:tcBorders>
            <w:vAlign w:val="center"/>
          </w:tcPr>
          <w:p w14:paraId="23705D82" w14:textId="4B1C03CA"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9564D5">
              <w:rPr>
                <w:rFonts w:ascii="Arial" w:hAnsi="Arial" w:cs="Arial"/>
                <w:color w:val="000000" w:themeColor="text1"/>
                <w:sz w:val="18"/>
                <w:szCs w:val="18"/>
              </w:rPr>
              <w:t>2.3</w:t>
            </w:r>
            <w:r w:rsidRPr="00157E3F">
              <w:rPr>
                <w:rFonts w:ascii="Arial" w:hAnsi="Arial" w:cs="Arial"/>
                <w:color w:val="000000" w:themeColor="text1"/>
                <w:sz w:val="18"/>
                <w:szCs w:val="18"/>
              </w:rPr>
              <w:t>%</w:t>
            </w:r>
          </w:p>
        </w:tc>
        <w:tc>
          <w:tcPr>
            <w:tcW w:w="1333" w:type="dxa"/>
            <w:tcBorders>
              <w:top w:val="nil"/>
              <w:left w:val="nil"/>
              <w:bottom w:val="nil"/>
            </w:tcBorders>
            <w:vAlign w:val="center"/>
          </w:tcPr>
          <w:p w14:paraId="28C00B2F" w14:textId="5FF66BB4" w:rsidR="000D6C1A" w:rsidRPr="00FB41A2" w:rsidRDefault="000D6C1A" w:rsidP="00DC4C2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57E3F">
              <w:rPr>
                <w:rFonts w:ascii="Arial" w:hAnsi="Arial" w:cs="Arial"/>
                <w:color w:val="000000" w:themeColor="text1"/>
                <w:sz w:val="18"/>
                <w:szCs w:val="18"/>
              </w:rPr>
              <w:t>+</w:t>
            </w:r>
            <w:r w:rsidR="009564D5">
              <w:rPr>
                <w:rFonts w:ascii="Arial" w:hAnsi="Arial" w:cs="Arial"/>
                <w:color w:val="000000" w:themeColor="text1"/>
                <w:sz w:val="18"/>
                <w:szCs w:val="18"/>
              </w:rPr>
              <w:t>6.4</w:t>
            </w:r>
            <w:r w:rsidRPr="00157E3F">
              <w:rPr>
                <w:rFonts w:ascii="Arial" w:hAnsi="Arial" w:cs="Arial"/>
                <w:color w:val="000000" w:themeColor="text1"/>
                <w:sz w:val="18"/>
                <w:szCs w:val="18"/>
              </w:rPr>
              <w:t>%</w:t>
            </w:r>
          </w:p>
        </w:tc>
      </w:tr>
      <w:tr w:rsidR="000D6C1A" w:rsidRPr="00FB41A2" w14:paraId="5A862543" w14:textId="77777777" w:rsidTr="00DC4C2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0D6C1A" w:rsidRPr="00FB41A2" w:rsidRDefault="000D6C1A" w:rsidP="000D6C1A">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5BD12AEA"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10956">
              <w:rPr>
                <w:rFonts w:ascii="Arial" w:hAnsi="Arial" w:cs="Arial"/>
                <w:color w:val="000000" w:themeColor="text1"/>
                <w:sz w:val="18"/>
                <w:szCs w:val="18"/>
              </w:rPr>
              <w:t>$</w:t>
            </w:r>
            <w:r w:rsidR="00503D67">
              <w:rPr>
                <w:rFonts w:ascii="Arial" w:hAnsi="Arial" w:cs="Arial"/>
                <w:color w:val="000000" w:themeColor="text1"/>
                <w:sz w:val="18"/>
                <w:szCs w:val="18"/>
              </w:rPr>
              <w:t>0.</w:t>
            </w:r>
            <w:r w:rsidR="009564D5">
              <w:rPr>
                <w:rFonts w:ascii="Arial" w:hAnsi="Arial" w:cs="Arial"/>
                <w:color w:val="000000" w:themeColor="text1"/>
                <w:sz w:val="18"/>
                <w:szCs w:val="18"/>
              </w:rPr>
              <w:t>7</w:t>
            </w:r>
            <w:r w:rsidRPr="00010956">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0D91B098" w14:textId="72ACC592" w:rsidR="000D6C1A" w:rsidRPr="00FB41A2" w:rsidRDefault="00DC4C2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503D67">
              <w:rPr>
                <w:rFonts w:ascii="Arial" w:hAnsi="Arial" w:cs="Arial"/>
                <w:color w:val="000000" w:themeColor="text1"/>
                <w:sz w:val="18"/>
                <w:szCs w:val="18"/>
              </w:rPr>
              <w:t>9.</w:t>
            </w:r>
            <w:r w:rsidR="009564D5">
              <w:rPr>
                <w:rFonts w:ascii="Arial" w:hAnsi="Arial" w:cs="Arial"/>
                <w:color w:val="000000" w:themeColor="text1"/>
                <w:sz w:val="18"/>
                <w:szCs w:val="18"/>
              </w:rPr>
              <w:t>7</w:t>
            </w:r>
            <w:r w:rsidR="000D6C1A" w:rsidRPr="00F5692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24D784AC" w:rsidR="000D6C1A" w:rsidRPr="00FB41A2" w:rsidRDefault="00DC4C2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503D67">
              <w:rPr>
                <w:rFonts w:ascii="Arial" w:hAnsi="Arial" w:cs="Arial"/>
                <w:color w:val="000000" w:themeColor="text1"/>
                <w:sz w:val="18"/>
                <w:szCs w:val="18"/>
              </w:rPr>
              <w:t>1</w:t>
            </w:r>
            <w:r w:rsidR="009564D5">
              <w:rPr>
                <w:rFonts w:ascii="Arial" w:hAnsi="Arial" w:cs="Arial"/>
                <w:color w:val="000000" w:themeColor="text1"/>
                <w:sz w:val="18"/>
                <w:szCs w:val="18"/>
              </w:rPr>
              <w:t>5.5</w:t>
            </w:r>
            <w:r w:rsidR="000D6C1A" w:rsidRPr="00F5692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16BA0FC" w14:textId="6DE6D024" w:rsidR="000D6C1A" w:rsidRPr="00FB41A2" w:rsidRDefault="000D6C1A" w:rsidP="000D6C1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590BAB2D" w14:textId="71B606B5" w:rsidR="000D6C1A" w:rsidRPr="00FB41A2" w:rsidRDefault="000D6C1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37595">
              <w:rPr>
                <w:rFonts w:ascii="Arial" w:hAnsi="Arial" w:cs="Arial"/>
                <w:color w:val="000000" w:themeColor="text1"/>
                <w:sz w:val="18"/>
                <w:szCs w:val="18"/>
              </w:rPr>
              <w:t>$</w:t>
            </w:r>
            <w:r w:rsidR="00503D67">
              <w:rPr>
                <w:rFonts w:ascii="Arial" w:hAnsi="Arial" w:cs="Arial"/>
                <w:color w:val="000000" w:themeColor="text1"/>
                <w:sz w:val="18"/>
                <w:szCs w:val="18"/>
              </w:rPr>
              <w:t>9</w:t>
            </w:r>
            <w:r w:rsidRPr="00237595">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2FB2D010" w14:textId="01269BC2" w:rsidR="000D6C1A" w:rsidRPr="00FB41A2" w:rsidRDefault="00DC4C2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03D67">
              <w:rPr>
                <w:rFonts w:ascii="Arial" w:hAnsi="Arial" w:cs="Arial"/>
                <w:color w:val="000000" w:themeColor="text1"/>
                <w:sz w:val="18"/>
                <w:szCs w:val="18"/>
              </w:rPr>
              <w:t>12.</w:t>
            </w:r>
            <w:r w:rsidR="009564D5">
              <w:rPr>
                <w:rFonts w:ascii="Arial" w:hAnsi="Arial" w:cs="Arial"/>
                <w:color w:val="000000" w:themeColor="text1"/>
                <w:sz w:val="18"/>
                <w:szCs w:val="18"/>
              </w:rPr>
              <w:t>4</w:t>
            </w:r>
            <w:r w:rsidR="000D6C1A" w:rsidRPr="00157E3F">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396BE58A" w:rsidR="000D6C1A" w:rsidRPr="00FB41A2" w:rsidRDefault="00DC4C2A" w:rsidP="00DC4C2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009564D5">
              <w:rPr>
                <w:rFonts w:ascii="Arial" w:hAnsi="Arial" w:cs="Arial"/>
                <w:color w:val="000000" w:themeColor="text1"/>
                <w:sz w:val="18"/>
                <w:szCs w:val="18"/>
              </w:rPr>
              <w:t>9</w:t>
            </w:r>
            <w:r w:rsidR="000D6C1A" w:rsidRPr="00157E3F">
              <w:rPr>
                <w:rFonts w:ascii="Arial" w:hAnsi="Arial" w:cs="Arial"/>
                <w:color w:val="000000" w:themeColor="text1"/>
                <w:sz w:val="18"/>
                <w:szCs w:val="18"/>
              </w:rPr>
              <w:t>%</w:t>
            </w:r>
          </w:p>
        </w:tc>
      </w:tr>
      <w:bookmarkEnd w:id="8"/>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00FB48FE"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Pr="009E759F" w:rsidRDefault="00F44177" w:rsidP="00F44177">
      <w:pPr>
        <w:pStyle w:val="NoSpacing"/>
        <w:rPr>
          <w:rFonts w:ascii="Arial" w:hAnsi="Arial" w:cs="Arial"/>
          <w:b/>
          <w:color w:val="595959" w:themeColor="text1" w:themeTint="A6"/>
          <w:sz w:val="32"/>
          <w:szCs w:val="32"/>
        </w:rPr>
      </w:pPr>
    </w:p>
    <w:p w14:paraId="42AB96A0" w14:textId="77777777" w:rsidR="00720067" w:rsidRPr="003D2C85" w:rsidRDefault="00720067" w:rsidP="00720067">
      <w:pPr>
        <w:pStyle w:val="NoSpacing"/>
        <w:rPr>
          <w:rFonts w:ascii="Arial" w:hAnsi="Arial" w:cs="Arial"/>
          <w:b/>
          <w:color w:val="595959" w:themeColor="text1" w:themeTint="A6"/>
          <w:sz w:val="24"/>
          <w:szCs w:val="24"/>
        </w:rPr>
      </w:pPr>
      <w:bookmarkStart w:id="9" w:name="_Hlk158538735"/>
      <w:bookmarkStart w:id="10" w:name="_Hlk160971988"/>
      <w:bookmarkStart w:id="11" w:name="_Hlk166235219"/>
      <w:bookmarkStart w:id="12" w:name="_Hlk121583547"/>
      <w:bookmarkStart w:id="13" w:name="_Hlk116291245"/>
      <w:bookmarkStart w:id="14" w:name="_Hlk79236872"/>
      <w:r w:rsidRPr="003D2C85">
        <w:rPr>
          <w:rFonts w:ascii="Arial" w:hAnsi="Arial" w:cs="Arial"/>
          <w:b/>
          <w:color w:val="595959" w:themeColor="text1" w:themeTint="A6"/>
          <w:sz w:val="24"/>
          <w:szCs w:val="24"/>
        </w:rPr>
        <w:t>What’s Next?</w:t>
      </w:r>
    </w:p>
    <w:bookmarkEnd w:id="9"/>
    <w:bookmarkEnd w:id="10"/>
    <w:bookmarkEnd w:id="11"/>
    <w:p w14:paraId="67EFF33E" w14:textId="77777777" w:rsidR="00EF5381" w:rsidRPr="00C8520E" w:rsidRDefault="00EF5381" w:rsidP="00EF5381">
      <w:pPr>
        <w:spacing w:after="0" w:line="240" w:lineRule="auto"/>
        <w:rPr>
          <w:rFonts w:ascii="Arial" w:hAnsi="Arial" w:cs="Arial"/>
          <w:sz w:val="20"/>
          <w:szCs w:val="20"/>
        </w:rPr>
      </w:pPr>
      <w:r w:rsidRPr="00C8520E">
        <w:rPr>
          <w:rFonts w:ascii="Arial" w:hAnsi="Arial" w:cs="Arial"/>
          <w:sz w:val="20"/>
          <w:szCs w:val="20"/>
        </w:rPr>
        <w:t>Looking forward to the many summer holidays and happenings:</w:t>
      </w:r>
    </w:p>
    <w:p w14:paraId="7B53789F" w14:textId="77777777" w:rsidR="00EF5381" w:rsidRPr="00C8520E" w:rsidRDefault="00EF5381" w:rsidP="00EF5381">
      <w:pPr>
        <w:pStyle w:val="ListParagraph"/>
        <w:numPr>
          <w:ilvl w:val="0"/>
          <w:numId w:val="18"/>
        </w:numPr>
        <w:contextualSpacing/>
        <w:rPr>
          <w:rFonts w:ascii="Arial" w:hAnsi="Arial" w:cs="Arial"/>
          <w:sz w:val="20"/>
          <w:szCs w:val="20"/>
        </w:rPr>
      </w:pPr>
      <w:r w:rsidRPr="00C8520E">
        <w:rPr>
          <w:rFonts w:ascii="Arial" w:hAnsi="Arial" w:cs="Arial"/>
          <w:sz w:val="20"/>
          <w:szCs w:val="20"/>
        </w:rPr>
        <w:t xml:space="preserve">17% of consumers in the May </w:t>
      </w:r>
      <w:proofErr w:type="spellStart"/>
      <w:r w:rsidRPr="00C8520E">
        <w:rPr>
          <w:rFonts w:ascii="Arial" w:hAnsi="Arial" w:cs="Arial"/>
          <w:sz w:val="20"/>
          <w:szCs w:val="20"/>
        </w:rPr>
        <w:t>Circana</w:t>
      </w:r>
      <w:proofErr w:type="spellEnd"/>
      <w:r w:rsidRPr="00C8520E">
        <w:rPr>
          <w:rFonts w:ascii="Arial" w:hAnsi="Arial" w:cs="Arial"/>
          <w:sz w:val="20"/>
          <w:szCs w:val="20"/>
        </w:rPr>
        <w:t xml:space="preserve"> survey plan to travel more than last summer whereas 10% will travel less often or take smaller trips</w:t>
      </w:r>
      <w:r>
        <w:rPr>
          <w:rFonts w:ascii="Arial" w:hAnsi="Arial" w:cs="Arial"/>
          <w:sz w:val="20"/>
          <w:szCs w:val="20"/>
        </w:rPr>
        <w:t xml:space="preserve">. Eight percent </w:t>
      </w:r>
      <w:r w:rsidRPr="00C8520E">
        <w:rPr>
          <w:rFonts w:ascii="Arial" w:hAnsi="Arial" w:cs="Arial"/>
          <w:sz w:val="20"/>
          <w:szCs w:val="20"/>
        </w:rPr>
        <w:t xml:space="preserve">are not planning on traveling </w:t>
      </w:r>
      <w:r>
        <w:rPr>
          <w:rFonts w:ascii="Arial" w:hAnsi="Arial" w:cs="Arial"/>
          <w:sz w:val="20"/>
          <w:szCs w:val="20"/>
        </w:rPr>
        <w:t xml:space="preserve">at all </w:t>
      </w:r>
      <w:r w:rsidRPr="00C8520E">
        <w:rPr>
          <w:rFonts w:ascii="Arial" w:hAnsi="Arial" w:cs="Arial"/>
          <w:sz w:val="20"/>
          <w:szCs w:val="20"/>
        </w:rPr>
        <w:t>while they did</w:t>
      </w:r>
      <w:r>
        <w:rPr>
          <w:rFonts w:ascii="Arial" w:hAnsi="Arial" w:cs="Arial"/>
          <w:sz w:val="20"/>
          <w:szCs w:val="20"/>
        </w:rPr>
        <w:t xml:space="preserve"> so</w:t>
      </w:r>
      <w:r w:rsidRPr="00C8520E">
        <w:rPr>
          <w:rFonts w:ascii="Arial" w:hAnsi="Arial" w:cs="Arial"/>
          <w:sz w:val="20"/>
          <w:szCs w:val="20"/>
        </w:rPr>
        <w:t xml:space="preserve"> last summer. Plans are impacted by the price of travel (34%) or the lack of money for travel because price increases on everyday needs (47%). For food retailers, staycations provide an opportunity to create special moments at home. </w:t>
      </w:r>
    </w:p>
    <w:p w14:paraId="4C476991" w14:textId="77777777" w:rsidR="00EF5381" w:rsidRPr="00C8520E" w:rsidRDefault="00EF5381" w:rsidP="00EF5381">
      <w:pPr>
        <w:pStyle w:val="ListParagraph"/>
        <w:numPr>
          <w:ilvl w:val="1"/>
          <w:numId w:val="18"/>
        </w:numPr>
        <w:contextualSpacing/>
        <w:rPr>
          <w:rFonts w:ascii="Arial" w:hAnsi="Arial" w:cs="Arial"/>
          <w:sz w:val="20"/>
          <w:szCs w:val="20"/>
        </w:rPr>
      </w:pPr>
      <w:r w:rsidRPr="00C8520E">
        <w:rPr>
          <w:rFonts w:ascii="Arial" w:hAnsi="Arial" w:cs="Arial"/>
          <w:sz w:val="20"/>
          <w:szCs w:val="20"/>
        </w:rPr>
        <w:t>65% plan to do a cookout or barbecue this summer.</w:t>
      </w:r>
    </w:p>
    <w:p w14:paraId="6AA9B89D" w14:textId="77777777" w:rsidR="00EF5381" w:rsidRPr="00C8520E" w:rsidRDefault="00EF5381" w:rsidP="00EF5381">
      <w:pPr>
        <w:pStyle w:val="ListParagraph"/>
        <w:numPr>
          <w:ilvl w:val="1"/>
          <w:numId w:val="18"/>
        </w:numPr>
        <w:contextualSpacing/>
        <w:rPr>
          <w:rFonts w:ascii="Arial" w:hAnsi="Arial" w:cs="Arial"/>
          <w:sz w:val="20"/>
          <w:szCs w:val="20"/>
        </w:rPr>
      </w:pPr>
      <w:r w:rsidRPr="00C8520E">
        <w:rPr>
          <w:rFonts w:ascii="Arial" w:hAnsi="Arial" w:cs="Arial"/>
          <w:sz w:val="20"/>
          <w:szCs w:val="20"/>
        </w:rPr>
        <w:t>63% plan to host friends and family.</w:t>
      </w:r>
    </w:p>
    <w:p w14:paraId="0C1C502E" w14:textId="77777777" w:rsidR="00EF5381" w:rsidRPr="00C8520E" w:rsidRDefault="00EF5381" w:rsidP="00EF5381">
      <w:pPr>
        <w:pStyle w:val="ListParagraph"/>
        <w:numPr>
          <w:ilvl w:val="0"/>
          <w:numId w:val="18"/>
        </w:numPr>
        <w:contextualSpacing/>
        <w:rPr>
          <w:rFonts w:ascii="Arial" w:hAnsi="Arial" w:cs="Arial"/>
          <w:sz w:val="20"/>
          <w:szCs w:val="20"/>
        </w:rPr>
      </w:pPr>
      <w:r w:rsidRPr="00C8520E">
        <w:rPr>
          <w:rFonts w:ascii="Arial" w:hAnsi="Arial" w:cs="Arial"/>
          <w:sz w:val="20"/>
          <w:szCs w:val="20"/>
        </w:rPr>
        <w:t xml:space="preserve">Four in 10 consumers, 43%, are planning to entertain as much or more this summer, with parties or small gatherings. Many sporting events, including the Summer Olympics, and summer holidays provide a great opportunity to get consumers to splurge a little more. </w:t>
      </w:r>
    </w:p>
    <w:p w14:paraId="353CB2D4" w14:textId="77777777" w:rsidR="00EF5381" w:rsidRPr="00C8520E" w:rsidRDefault="00EF5381" w:rsidP="00EF5381">
      <w:pPr>
        <w:pStyle w:val="ListParagraph"/>
        <w:numPr>
          <w:ilvl w:val="0"/>
          <w:numId w:val="18"/>
        </w:numPr>
        <w:contextualSpacing/>
        <w:rPr>
          <w:rFonts w:ascii="Arial" w:hAnsi="Arial" w:cs="Arial"/>
          <w:sz w:val="20"/>
          <w:szCs w:val="20"/>
        </w:rPr>
      </w:pPr>
      <w:r w:rsidRPr="00C8520E">
        <w:rPr>
          <w:rFonts w:ascii="Arial" w:hAnsi="Arial" w:cs="Arial"/>
          <w:sz w:val="20"/>
          <w:szCs w:val="20"/>
        </w:rPr>
        <w:t>62% plan to do something special for the Fourth of July, led by getting together with friends and family, cookouts and going to watch fireworks and/or a parade.</w:t>
      </w:r>
    </w:p>
    <w:p w14:paraId="1363DB2A" w14:textId="77777777" w:rsidR="00720067" w:rsidRDefault="00720067" w:rsidP="00720067">
      <w:pPr>
        <w:pStyle w:val="NoSpacing"/>
        <w:rPr>
          <w:rFonts w:ascii="Arial" w:hAnsi="Arial" w:cs="Arial"/>
          <w:sz w:val="20"/>
          <w:szCs w:val="20"/>
        </w:rPr>
      </w:pPr>
    </w:p>
    <w:bookmarkEnd w:id="12"/>
    <w:bookmarkEnd w:id="13"/>
    <w:p w14:paraId="356D29DF" w14:textId="7FD9D991" w:rsidR="00DF4436" w:rsidRPr="00A52516" w:rsidRDefault="000A3830" w:rsidP="009D4CC4">
      <w:pPr>
        <w:pStyle w:val="NoSpacing"/>
        <w:rPr>
          <w:rFonts w:ascii="Arial" w:hAnsi="Arial" w:cs="Arial"/>
          <w:sz w:val="20"/>
          <w:szCs w:val="20"/>
        </w:rPr>
      </w:pPr>
      <w:r w:rsidRPr="00A52516">
        <w:rPr>
          <w:rFonts w:ascii="Arial" w:hAnsi="Arial" w:cs="Arial"/>
          <w:sz w:val="20"/>
          <w:szCs w:val="20"/>
        </w:rPr>
        <w:t xml:space="preserve">The next performance report in the </w:t>
      </w:r>
      <w:hyperlink r:id="rId12" w:history="1">
        <w:proofErr w:type="spellStart"/>
        <w:r w:rsidR="00FB48FE" w:rsidRPr="008B2978">
          <w:rPr>
            <w:rStyle w:val="Hyperlink"/>
            <w:rFonts w:ascii="Arial" w:hAnsi="Arial" w:cs="Arial"/>
            <w:sz w:val="20"/>
            <w:szCs w:val="20"/>
          </w:rPr>
          <w:t>Circana</w:t>
        </w:r>
        <w:proofErr w:type="spellEnd"/>
      </w:hyperlink>
      <w:r w:rsidR="000134EB">
        <w:rPr>
          <w:rFonts w:ascii="Arial" w:hAnsi="Arial" w:cs="Arial"/>
          <w:sz w:val="20"/>
          <w:szCs w:val="20"/>
        </w:rPr>
        <w:t xml:space="preserve">, </w:t>
      </w:r>
      <w:r w:rsidRPr="00A52516">
        <w:rPr>
          <w:rFonts w:ascii="Arial" w:hAnsi="Arial" w:cs="Arial"/>
          <w:sz w:val="20"/>
          <w:szCs w:val="20"/>
        </w:rPr>
        <w:t>210 Analytics</w:t>
      </w:r>
      <w:r w:rsidR="000134EB">
        <w:rPr>
          <w:rFonts w:ascii="Arial" w:hAnsi="Arial" w:cs="Arial"/>
          <w:sz w:val="20"/>
          <w:szCs w:val="20"/>
        </w:rPr>
        <w:t xml:space="preserve"> and </w:t>
      </w:r>
      <w:hyperlink r:id="rId13" w:history="1">
        <w:r w:rsidR="009145D8" w:rsidRPr="00C34339">
          <w:rPr>
            <w:rStyle w:val="Hyperlink"/>
            <w:rFonts w:ascii="Arial" w:hAnsi="Arial" w:cs="Arial"/>
            <w:sz w:val="20"/>
            <w:szCs w:val="20"/>
          </w:rPr>
          <w:t>Hillphoenix</w:t>
        </w:r>
      </w:hyperlink>
      <w:r w:rsidR="000134EB">
        <w:rPr>
          <w:rFonts w:ascii="Arial" w:hAnsi="Arial" w:cs="Arial"/>
          <w:sz w:val="20"/>
          <w:szCs w:val="20"/>
        </w:rPr>
        <w:t xml:space="preserve"> series</w:t>
      </w:r>
      <w:r w:rsidRPr="00A52516">
        <w:rPr>
          <w:rFonts w:ascii="Arial" w:hAnsi="Arial" w:cs="Arial"/>
          <w:sz w:val="20"/>
          <w:szCs w:val="20"/>
        </w:rPr>
        <w:t xml:space="preserve"> will be released mid-</w:t>
      </w:r>
      <w:r w:rsidR="00720067">
        <w:rPr>
          <w:rFonts w:ascii="Arial" w:hAnsi="Arial" w:cs="Arial"/>
          <w:sz w:val="20"/>
          <w:szCs w:val="20"/>
        </w:rPr>
        <w:t>Ju</w:t>
      </w:r>
      <w:r w:rsidR="00EF5381">
        <w:rPr>
          <w:rFonts w:ascii="Arial" w:hAnsi="Arial" w:cs="Arial"/>
          <w:sz w:val="20"/>
          <w:szCs w:val="20"/>
        </w:rPr>
        <w:t>ly</w:t>
      </w:r>
      <w:r w:rsidR="00D043F3">
        <w:rPr>
          <w:rFonts w:ascii="Arial" w:hAnsi="Arial" w:cs="Arial"/>
          <w:sz w:val="20"/>
          <w:szCs w:val="20"/>
        </w:rPr>
        <w:t xml:space="preserve"> 202</w:t>
      </w:r>
      <w:r w:rsidR="00A10FC4">
        <w:rPr>
          <w:rFonts w:ascii="Arial" w:hAnsi="Arial" w:cs="Arial"/>
          <w:sz w:val="20"/>
          <w:szCs w:val="20"/>
        </w:rPr>
        <w:t>4</w:t>
      </w:r>
      <w:r w:rsidR="00181867">
        <w:rPr>
          <w:rFonts w:ascii="Arial" w:hAnsi="Arial" w:cs="Arial"/>
          <w:sz w:val="20"/>
          <w:szCs w:val="20"/>
        </w:rPr>
        <w:t xml:space="preserve"> </w:t>
      </w:r>
      <w:r w:rsidRPr="00A52516">
        <w:rPr>
          <w:rFonts w:ascii="Arial" w:hAnsi="Arial" w:cs="Arial"/>
          <w:sz w:val="20"/>
          <w:szCs w:val="20"/>
        </w:rPr>
        <w:t xml:space="preserve">to cover the </w:t>
      </w:r>
      <w:r w:rsidR="00EF5381">
        <w:rPr>
          <w:rFonts w:ascii="Arial" w:hAnsi="Arial" w:cs="Arial"/>
          <w:sz w:val="20"/>
          <w:szCs w:val="20"/>
        </w:rPr>
        <w:t>June</w:t>
      </w:r>
      <w:r w:rsidR="00720067">
        <w:rPr>
          <w:rFonts w:ascii="Arial" w:hAnsi="Arial" w:cs="Arial"/>
          <w:sz w:val="20"/>
          <w:szCs w:val="20"/>
        </w:rPr>
        <w:t xml:space="preserve"> </w:t>
      </w:r>
      <w:r w:rsidRPr="00A52516">
        <w:rPr>
          <w:rFonts w:ascii="Arial" w:hAnsi="Arial" w:cs="Arial"/>
          <w:sz w:val="20"/>
          <w:szCs w:val="20"/>
        </w:rPr>
        <w:t>sales trends</w:t>
      </w:r>
      <w:r>
        <w:rPr>
          <w:rFonts w:ascii="Arial" w:hAnsi="Arial" w:cs="Arial"/>
          <w:sz w:val="20"/>
          <w:szCs w:val="20"/>
        </w:rPr>
        <w:t xml:space="preserve">. </w:t>
      </w:r>
      <w:bookmarkEnd w:id="14"/>
    </w:p>
    <w:p w14:paraId="37EC0D3B" w14:textId="77777777" w:rsidR="007C3A4F" w:rsidRDefault="00DF4436" w:rsidP="009D4CC4">
      <w:pPr>
        <w:pStyle w:val="NoSpacing"/>
        <w:rPr>
          <w:rFonts w:ascii="Arial" w:hAnsi="Arial" w:cs="Arial"/>
          <w:sz w:val="20"/>
          <w:szCs w:val="20"/>
        </w:rPr>
      </w:pPr>
      <w:r>
        <w:rPr>
          <w:rFonts w:ascii="Arial" w:hAnsi="Arial" w:cs="Arial"/>
          <w:sz w:val="20"/>
          <w:szCs w:val="20"/>
        </w:rPr>
        <w:t xml:space="preserve"> </w:t>
      </w:r>
    </w:p>
    <w:p w14:paraId="3E203B17" w14:textId="2230DED7" w:rsidR="000134EB" w:rsidRDefault="000134EB" w:rsidP="000134EB">
      <w:pPr>
        <w:pStyle w:val="NoSpacing"/>
        <w:rPr>
          <w:rFonts w:ascii="Arial" w:hAnsi="Arial" w:cs="Arial"/>
          <w:b/>
          <w:sz w:val="20"/>
          <w:szCs w:val="20"/>
        </w:rPr>
      </w:pPr>
      <w:bookmarkStart w:id="15" w:name="_Hlk118920915"/>
      <w:bookmarkStart w:id="16" w:name="_Hlk127026660"/>
      <w:r>
        <w:rPr>
          <w:rFonts w:ascii="Arial" w:hAnsi="Arial" w:cs="Arial"/>
          <w:b/>
          <w:sz w:val="20"/>
          <w:szCs w:val="20"/>
        </w:rPr>
        <w:t xml:space="preserve">Date ranges: </w:t>
      </w:r>
    </w:p>
    <w:bookmarkEnd w:id="15"/>
    <w:bookmarkEnd w:id="16"/>
    <w:p w14:paraId="71F87A5B" w14:textId="7CA6028E" w:rsidR="00B0743F" w:rsidRDefault="00B0743F" w:rsidP="00525982">
      <w:pPr>
        <w:pStyle w:val="NoSpacing"/>
        <w:rPr>
          <w:rFonts w:ascii="Arial" w:hAnsi="Arial" w:cs="Arial"/>
          <w:sz w:val="20"/>
          <w:szCs w:val="20"/>
        </w:rPr>
      </w:pPr>
      <w:r>
        <w:rPr>
          <w:rFonts w:ascii="Arial" w:hAnsi="Arial" w:cs="Arial"/>
          <w:sz w:val="20"/>
          <w:szCs w:val="20"/>
        </w:rPr>
        <w:t>2023: 52 weeks ending 12/31/2023</w:t>
      </w:r>
    </w:p>
    <w:p w14:paraId="4AD40D74" w14:textId="6BFEF98E" w:rsidR="00D85BA4" w:rsidRDefault="00922058" w:rsidP="00525982">
      <w:pPr>
        <w:pStyle w:val="NoSpacing"/>
        <w:rPr>
          <w:rFonts w:ascii="Arial" w:hAnsi="Arial" w:cs="Arial"/>
          <w:sz w:val="20"/>
          <w:szCs w:val="20"/>
        </w:rPr>
      </w:pPr>
      <w:r>
        <w:rPr>
          <w:rFonts w:ascii="Arial" w:hAnsi="Arial" w:cs="Arial"/>
          <w:sz w:val="20"/>
          <w:szCs w:val="20"/>
        </w:rPr>
        <w:t>Q</w:t>
      </w:r>
      <w:r w:rsidR="00547B7B">
        <w:rPr>
          <w:rFonts w:ascii="Arial" w:hAnsi="Arial" w:cs="Arial"/>
          <w:sz w:val="20"/>
          <w:szCs w:val="20"/>
        </w:rPr>
        <w:t>1</w:t>
      </w:r>
      <w:r>
        <w:rPr>
          <w:rFonts w:ascii="Arial" w:hAnsi="Arial" w:cs="Arial"/>
          <w:sz w:val="20"/>
          <w:szCs w:val="20"/>
        </w:rPr>
        <w:t xml:space="preserve"> 2024: 13 weeks ending 3/31/2024</w:t>
      </w:r>
    </w:p>
    <w:p w14:paraId="1522D985" w14:textId="7E4A33CB" w:rsidR="00922058" w:rsidRDefault="00EF5381" w:rsidP="00525982">
      <w:pPr>
        <w:pStyle w:val="NoSpacing"/>
        <w:rPr>
          <w:rFonts w:ascii="Arial" w:hAnsi="Arial" w:cs="Arial"/>
          <w:sz w:val="20"/>
          <w:szCs w:val="20"/>
        </w:rPr>
      </w:pPr>
      <w:r>
        <w:rPr>
          <w:rFonts w:ascii="Arial" w:hAnsi="Arial" w:cs="Arial"/>
          <w:sz w:val="20"/>
          <w:szCs w:val="20"/>
        </w:rPr>
        <w:t xml:space="preserve">May </w:t>
      </w:r>
      <w:r w:rsidR="00922058">
        <w:rPr>
          <w:rFonts w:ascii="Arial" w:hAnsi="Arial" w:cs="Arial"/>
          <w:sz w:val="20"/>
          <w:szCs w:val="20"/>
        </w:rPr>
        <w:t xml:space="preserve">2024: </w:t>
      </w:r>
      <w:r>
        <w:rPr>
          <w:rFonts w:ascii="Arial" w:hAnsi="Arial" w:cs="Arial"/>
          <w:sz w:val="20"/>
          <w:szCs w:val="20"/>
        </w:rPr>
        <w:t>5</w:t>
      </w:r>
      <w:r w:rsidR="00922058">
        <w:rPr>
          <w:rFonts w:ascii="Arial" w:hAnsi="Arial" w:cs="Arial"/>
          <w:sz w:val="20"/>
          <w:szCs w:val="20"/>
        </w:rPr>
        <w:t xml:space="preserve"> weeks ending </w:t>
      </w:r>
      <w:r>
        <w:rPr>
          <w:rFonts w:ascii="Arial" w:hAnsi="Arial" w:cs="Arial"/>
          <w:sz w:val="20"/>
          <w:szCs w:val="20"/>
        </w:rPr>
        <w:t>6</w:t>
      </w:r>
      <w:r w:rsidR="00922058">
        <w:rPr>
          <w:rFonts w:ascii="Arial" w:hAnsi="Arial" w:cs="Arial"/>
          <w:sz w:val="20"/>
          <w:szCs w:val="20"/>
        </w:rPr>
        <w:t>/</w:t>
      </w:r>
      <w:r w:rsidR="00422546">
        <w:rPr>
          <w:rFonts w:ascii="Arial" w:hAnsi="Arial" w:cs="Arial"/>
          <w:sz w:val="20"/>
          <w:szCs w:val="20"/>
        </w:rPr>
        <w:t>2</w:t>
      </w:r>
      <w:r w:rsidR="00922058">
        <w:rPr>
          <w:rFonts w:ascii="Arial" w:hAnsi="Arial" w:cs="Arial"/>
          <w:sz w:val="20"/>
          <w:szCs w:val="20"/>
        </w:rPr>
        <w:t>/2024</w:t>
      </w:r>
    </w:p>
    <w:sectPr w:rsidR="00922058" w:rsidSect="00D33B0D">
      <w:headerReference w:type="default" r:id="rId14"/>
      <w:footerReference w:type="default" r:id="rId15"/>
      <w:pgSz w:w="12240" w:h="15840"/>
      <w:pgMar w:top="1710" w:right="810" w:bottom="851" w:left="90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FEC10" w14:textId="77777777" w:rsidR="00F54972" w:rsidRDefault="00F54972" w:rsidP="00030F05">
      <w:pPr>
        <w:spacing w:after="0" w:line="240" w:lineRule="auto"/>
      </w:pPr>
      <w:r>
        <w:separator/>
      </w:r>
    </w:p>
  </w:endnote>
  <w:endnote w:type="continuationSeparator" w:id="0">
    <w:p w14:paraId="36263900" w14:textId="77777777" w:rsidR="00F54972" w:rsidRDefault="00F54972"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4B2E" w14:textId="66F5F54E" w:rsidR="00A26087" w:rsidRPr="00B87C2C" w:rsidRDefault="00A26087" w:rsidP="008614E7">
    <w:pPr>
      <w:tabs>
        <w:tab w:val="left" w:pos="1070"/>
      </w:tabs>
      <w:spacing w:before="68" w:after="71" w:line="210" w:lineRule="atLeast"/>
      <w:rPr>
        <w:rFonts w:ascii="Arial" w:hAnsi="Arial" w:cs="Arial"/>
        <w:color w:val="000000" w:themeColor="text1"/>
        <w:sz w:val="18"/>
        <w:szCs w:val="18"/>
      </w:rPr>
    </w:pPr>
    <w:r>
      <w:rPr>
        <w:b/>
        <w:bCs/>
        <w:noProof/>
        <w:lang w:val="nl-NL" w:eastAsia="nl-NL"/>
      </w:rPr>
      <mc:AlternateContent>
        <mc:Choice Requires="wps">
          <w:drawing>
            <wp:anchor distT="0" distB="0" distL="114300" distR="114300" simplePos="0" relativeHeight="251680768" behindDoc="0" locked="0" layoutInCell="1" allowOverlap="1" wp14:anchorId="5277C414" wp14:editId="0D87D251">
              <wp:simplePos x="0" y="0"/>
              <wp:positionH relativeFrom="margin">
                <wp:posOffset>6273800</wp:posOffset>
              </wp:positionH>
              <wp:positionV relativeFrom="paragraph">
                <wp:posOffset>114300</wp:posOffset>
              </wp:positionV>
              <wp:extent cx="1263650" cy="234950"/>
              <wp:effectExtent l="0" t="0" r="0" b="0"/>
              <wp:wrapNone/>
              <wp:docPr id="9547174" name="Text Box 2"/>
              <wp:cNvGraphicFramePr/>
              <a:graphic xmlns:a="http://schemas.openxmlformats.org/drawingml/2006/main">
                <a:graphicData uri="http://schemas.microsoft.com/office/word/2010/wordprocessingShape">
                  <wps:wsp>
                    <wps:cNvSpPr txBox="1"/>
                    <wps:spPr>
                      <a:xfrm>
                        <a:off x="0" y="0"/>
                        <a:ext cx="1263650" cy="234950"/>
                      </a:xfrm>
                      <a:prstGeom prst="rect">
                        <a:avLst/>
                      </a:prstGeom>
                      <a:noFill/>
                      <a:ln w="6350">
                        <a:noFill/>
                      </a:ln>
                    </wps:spPr>
                    <wps:txbx>
                      <w:txbxContent>
                        <w:p w14:paraId="76D05A51" w14:textId="77777777" w:rsidR="00A26087" w:rsidRPr="008614E7" w:rsidRDefault="00A26087" w:rsidP="008614E7">
                          <w:pPr>
                            <w:pStyle w:val="NoSpacing"/>
                            <w:rPr>
                              <w:color w:val="FFFFFF" w:themeColor="background1"/>
                              <w:sz w:val="18"/>
                              <w:szCs w:val="18"/>
                            </w:rPr>
                          </w:pPr>
                          <w:r w:rsidRPr="008614E7">
                            <w:rPr>
                              <w:color w:val="FFFFFF" w:themeColor="background1"/>
                              <w:sz w:val="18"/>
                              <w:szCs w:val="18"/>
                            </w:rPr>
                            <w:t>FOR PUBLIC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77C414" id="_x0000_t202" coordsize="21600,21600" o:spt="202" path="m,l,21600r21600,l21600,xe">
              <v:stroke joinstyle="miter"/>
              <v:path gradientshapeok="t" o:connecttype="rect"/>
            </v:shapetype>
            <v:shape id="Text Box 2" o:spid="_x0000_s1026" type="#_x0000_t202" style="position:absolute;margin-left:494pt;margin-top:9pt;width:99.5pt;height:1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" filled="f" stroked="f" strokeweight=".5pt">
              <v:textbox>
                <w:txbxContent>
                  <w:p w14:paraId="76D05A51" w14:textId="77777777" w:rsidR="00A26087" w:rsidRPr="008614E7" w:rsidRDefault="00A26087" w:rsidP="008614E7">
                    <w:pPr>
                      <w:pStyle w:val="NoSpacing"/>
                      <w:rPr>
                        <w:color w:val="FFFFFF" w:themeColor="background1"/>
                        <w:sz w:val="18"/>
                        <w:szCs w:val="18"/>
                      </w:rPr>
                    </w:pPr>
                    <w:r w:rsidRPr="008614E7">
                      <w:rPr>
                        <w:color w:val="FFFFFF" w:themeColor="background1"/>
                        <w:sz w:val="18"/>
                        <w:szCs w:val="18"/>
                      </w:rPr>
                      <w:t>FOR PUBLIC USE</w:t>
                    </w:r>
                  </w:p>
                </w:txbxContent>
              </v:textbox>
              <w10:wrap anchorx="margin"/>
            </v:shape>
          </w:pict>
        </mc:Fallback>
      </mc:AlternateContent>
    </w:r>
    <w:r w:rsidRPr="00B87C2C">
      <w:rPr>
        <w:rFonts w:ascii="Arial" w:hAnsi="Arial" w:cs="Arial"/>
        <w:noProof/>
        <w:sz w:val="18"/>
        <w:szCs w:val="18"/>
        <w:lang w:val="nl-NL" w:eastAsia="nl-NL"/>
      </w:rPr>
      <w:drawing>
        <wp:anchor distT="0" distB="0" distL="114300" distR="114300" simplePos="0" relativeHeight="251669504" behindDoc="0" locked="0" layoutInCell="1" allowOverlap="1" wp14:anchorId="2D6E6F6A" wp14:editId="0DD3210D">
          <wp:simplePos x="0" y="0"/>
          <wp:positionH relativeFrom="page">
            <wp:posOffset>1734820</wp:posOffset>
          </wp:positionH>
          <wp:positionV relativeFrom="paragraph">
            <wp:posOffset>-143510</wp:posOffset>
          </wp:positionV>
          <wp:extent cx="866140" cy="3556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66140" cy="35560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color w:val="FFFFFF" w:themeColor="background1"/>
        <w:sz w:val="18"/>
        <w:szCs w:val="18"/>
        <w:lang w:val="nl-NL" w:eastAsia="nl-NL"/>
      </w:rPr>
      <w:drawing>
        <wp:anchor distT="0" distB="0" distL="114300" distR="114300" simplePos="0" relativeHeight="251674624" behindDoc="0" locked="0" layoutInCell="1" allowOverlap="1" wp14:anchorId="45612D3F" wp14:editId="04013099">
          <wp:simplePos x="0" y="0"/>
          <wp:positionH relativeFrom="margin">
            <wp:posOffset>-69850</wp:posOffset>
          </wp:positionH>
          <wp:positionV relativeFrom="bottomMargin">
            <wp:posOffset>19050</wp:posOffset>
          </wp:positionV>
          <wp:extent cx="1219200" cy="38770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srcRect l="5123" t="11111" b="15278"/>
                  <a:stretch/>
                </pic:blipFill>
                <pic:spPr bwMode="auto">
                  <a:xfrm>
                    <a:off x="0" y="0"/>
                    <a:ext cx="1219200" cy="387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7C2C">
      <w:rPr>
        <w:rFonts w:ascii="Arial" w:hAnsi="Arial" w:cs="Arial"/>
        <w:sz w:val="18"/>
        <w:szCs w:val="18"/>
      </w:rPr>
      <w:t xml:space="preserve"> </w:t>
    </w:r>
    <w:r w:rsidRPr="00B87C2C">
      <w:rPr>
        <w:rFonts w:ascii="Arial" w:hAnsi="Arial" w:cs="Arial"/>
        <w:noProof/>
        <w:sz w:val="18"/>
        <w:szCs w:val="18"/>
        <w:lang w:val="nl-NL" w:eastAsia="nl-NL"/>
      </w:rPr>
      <w:drawing>
        <wp:anchor distT="0" distB="0" distL="114300" distR="114300" simplePos="0" relativeHeight="251678720" behindDoc="1" locked="0" layoutInCell="1" allowOverlap="1" wp14:anchorId="31D69B19" wp14:editId="7556B63A">
          <wp:simplePos x="0" y="0"/>
          <wp:positionH relativeFrom="page">
            <wp:align>left</wp:align>
          </wp:positionH>
          <wp:positionV relativeFrom="paragraph">
            <wp:posOffset>-292017</wp:posOffset>
          </wp:positionV>
          <wp:extent cx="7768456" cy="612140"/>
          <wp:effectExtent l="0" t="0" r="4445" b="0"/>
          <wp:wrapNone/>
          <wp:docPr id="1269909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3">
                    <a:extLst>
                      <a:ext uri="{28A0092B-C50C-407E-A947-70E740481C1C}">
                        <a14:useLocalDpi xmlns:a14="http://schemas.microsoft.com/office/drawing/2010/main" val="0"/>
                      </a:ext>
                    </a:extLst>
                  </a:blip>
                  <a:stretch>
                    <a:fillRect/>
                  </a:stretch>
                </pic:blipFill>
                <pic:spPr>
                  <a:xfrm>
                    <a:off x="0" y="0"/>
                    <a:ext cx="7768456" cy="61214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sz w:val="18"/>
        <w:szCs w:val="18"/>
      </w:rPr>
      <w:t xml:space="preserve"> </w:t>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62B1" w14:textId="77777777" w:rsidR="00F54972" w:rsidRDefault="00F54972" w:rsidP="00030F05">
      <w:pPr>
        <w:spacing w:after="0" w:line="240" w:lineRule="auto"/>
      </w:pPr>
      <w:r>
        <w:separator/>
      </w:r>
    </w:p>
  </w:footnote>
  <w:footnote w:type="continuationSeparator" w:id="0">
    <w:p w14:paraId="02F00E22" w14:textId="77777777" w:rsidR="00F54972" w:rsidRDefault="00F54972"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8B8C" w14:textId="59023C2C" w:rsidR="00A26087" w:rsidRDefault="00A26087">
    <w:pPr>
      <w:pStyle w:val="Header"/>
    </w:pPr>
    <w:r>
      <w:rPr>
        <w:noProof/>
        <w:lang w:val="nl-NL" w:eastAsia="nl-NL"/>
      </w:rPr>
      <w:drawing>
        <wp:anchor distT="0" distB="0" distL="114300" distR="114300" simplePos="0" relativeHeight="251677696" behindDoc="0" locked="0" layoutInCell="1" allowOverlap="1" wp14:anchorId="45CB4A43" wp14:editId="07558A96">
          <wp:simplePos x="0" y="0"/>
          <wp:positionH relativeFrom="page">
            <wp:posOffset>-635</wp:posOffset>
          </wp:positionH>
          <wp:positionV relativeFrom="paragraph">
            <wp:posOffset>-443561</wp:posOffset>
          </wp:positionV>
          <wp:extent cx="7812640" cy="1019175"/>
          <wp:effectExtent l="0" t="0" r="0" b="0"/>
          <wp:wrapNone/>
          <wp:docPr id="3" name="Picture 3" descr="Graphical user interface, applicati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264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1975807">
    <w:abstractNumId w:val="12"/>
  </w:num>
  <w:num w:numId="2" w16cid:durableId="1747530276">
    <w:abstractNumId w:val="9"/>
  </w:num>
  <w:num w:numId="3" w16cid:durableId="644704626">
    <w:abstractNumId w:val="4"/>
  </w:num>
  <w:num w:numId="4" w16cid:durableId="1755784104">
    <w:abstractNumId w:val="10"/>
  </w:num>
  <w:num w:numId="5" w16cid:durableId="1554849379">
    <w:abstractNumId w:val="8"/>
  </w:num>
  <w:num w:numId="6" w16cid:durableId="1911382348">
    <w:abstractNumId w:val="16"/>
  </w:num>
  <w:num w:numId="7" w16cid:durableId="268708673">
    <w:abstractNumId w:val="5"/>
  </w:num>
  <w:num w:numId="8" w16cid:durableId="477114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674131">
    <w:abstractNumId w:val="6"/>
  </w:num>
  <w:num w:numId="10" w16cid:durableId="1983801259">
    <w:abstractNumId w:val="7"/>
  </w:num>
  <w:num w:numId="11" w16cid:durableId="206377815">
    <w:abstractNumId w:val="11"/>
  </w:num>
  <w:num w:numId="12" w16cid:durableId="537477397">
    <w:abstractNumId w:val="0"/>
  </w:num>
  <w:num w:numId="13" w16cid:durableId="978606581">
    <w:abstractNumId w:val="13"/>
  </w:num>
  <w:num w:numId="14" w16cid:durableId="1123306688">
    <w:abstractNumId w:val="14"/>
  </w:num>
  <w:num w:numId="15" w16cid:durableId="1754467517">
    <w:abstractNumId w:val="3"/>
  </w:num>
  <w:num w:numId="16" w16cid:durableId="1024867929">
    <w:abstractNumId w:val="1"/>
  </w:num>
  <w:num w:numId="17" w16cid:durableId="86192578">
    <w:abstractNumId w:val="2"/>
  </w:num>
  <w:num w:numId="18" w16cid:durableId="33229758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195E"/>
    <w:rsid w:val="00001F7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526F"/>
    <w:rsid w:val="00015EB3"/>
    <w:rsid w:val="00017DCF"/>
    <w:rsid w:val="0002049A"/>
    <w:rsid w:val="000212AA"/>
    <w:rsid w:val="00021B82"/>
    <w:rsid w:val="00023F33"/>
    <w:rsid w:val="000253BC"/>
    <w:rsid w:val="00027CAA"/>
    <w:rsid w:val="00030F05"/>
    <w:rsid w:val="000311F5"/>
    <w:rsid w:val="0003170A"/>
    <w:rsid w:val="00032DD7"/>
    <w:rsid w:val="00033B7B"/>
    <w:rsid w:val="00033D02"/>
    <w:rsid w:val="00033E4F"/>
    <w:rsid w:val="00034F34"/>
    <w:rsid w:val="00036EFD"/>
    <w:rsid w:val="0004166F"/>
    <w:rsid w:val="00041900"/>
    <w:rsid w:val="00045B0F"/>
    <w:rsid w:val="000474E7"/>
    <w:rsid w:val="00050133"/>
    <w:rsid w:val="0005098C"/>
    <w:rsid w:val="00051C92"/>
    <w:rsid w:val="00052208"/>
    <w:rsid w:val="000522E0"/>
    <w:rsid w:val="00052CC5"/>
    <w:rsid w:val="000543D2"/>
    <w:rsid w:val="000544C5"/>
    <w:rsid w:val="00055341"/>
    <w:rsid w:val="00055690"/>
    <w:rsid w:val="00055750"/>
    <w:rsid w:val="00056F44"/>
    <w:rsid w:val="000576BD"/>
    <w:rsid w:val="000601B0"/>
    <w:rsid w:val="00060279"/>
    <w:rsid w:val="00060715"/>
    <w:rsid w:val="00061BE8"/>
    <w:rsid w:val="00061E00"/>
    <w:rsid w:val="00063AFE"/>
    <w:rsid w:val="00063FDF"/>
    <w:rsid w:val="000642B2"/>
    <w:rsid w:val="00067139"/>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90B60"/>
    <w:rsid w:val="00091338"/>
    <w:rsid w:val="00091743"/>
    <w:rsid w:val="00092AF2"/>
    <w:rsid w:val="00092DBD"/>
    <w:rsid w:val="0009374A"/>
    <w:rsid w:val="00093E15"/>
    <w:rsid w:val="00094060"/>
    <w:rsid w:val="00094248"/>
    <w:rsid w:val="00094529"/>
    <w:rsid w:val="0009481F"/>
    <w:rsid w:val="00095085"/>
    <w:rsid w:val="00095FC2"/>
    <w:rsid w:val="0009649C"/>
    <w:rsid w:val="00096680"/>
    <w:rsid w:val="00096681"/>
    <w:rsid w:val="00096DC9"/>
    <w:rsid w:val="000A08D2"/>
    <w:rsid w:val="000A28A6"/>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24CB"/>
    <w:rsid w:val="000C2FAB"/>
    <w:rsid w:val="000C3C34"/>
    <w:rsid w:val="000C3EF1"/>
    <w:rsid w:val="000C422C"/>
    <w:rsid w:val="000D00A7"/>
    <w:rsid w:val="000D0858"/>
    <w:rsid w:val="000D0A9B"/>
    <w:rsid w:val="000D0B85"/>
    <w:rsid w:val="000D18BD"/>
    <w:rsid w:val="000D6C1A"/>
    <w:rsid w:val="000E123B"/>
    <w:rsid w:val="000E1306"/>
    <w:rsid w:val="000E3328"/>
    <w:rsid w:val="000E458B"/>
    <w:rsid w:val="000E4A37"/>
    <w:rsid w:val="000E5940"/>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5391"/>
    <w:rsid w:val="00125A29"/>
    <w:rsid w:val="00127F87"/>
    <w:rsid w:val="00130476"/>
    <w:rsid w:val="001309AE"/>
    <w:rsid w:val="00132D34"/>
    <w:rsid w:val="001331ED"/>
    <w:rsid w:val="0013431F"/>
    <w:rsid w:val="0013676E"/>
    <w:rsid w:val="00137F89"/>
    <w:rsid w:val="00140238"/>
    <w:rsid w:val="0014076B"/>
    <w:rsid w:val="00140C06"/>
    <w:rsid w:val="001419F7"/>
    <w:rsid w:val="00145285"/>
    <w:rsid w:val="001479C6"/>
    <w:rsid w:val="0015045A"/>
    <w:rsid w:val="001554E6"/>
    <w:rsid w:val="00156215"/>
    <w:rsid w:val="00156519"/>
    <w:rsid w:val="00161A66"/>
    <w:rsid w:val="001621F6"/>
    <w:rsid w:val="00165FB4"/>
    <w:rsid w:val="001664DB"/>
    <w:rsid w:val="001675B5"/>
    <w:rsid w:val="00167C99"/>
    <w:rsid w:val="00170325"/>
    <w:rsid w:val="00171042"/>
    <w:rsid w:val="00171A66"/>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991"/>
    <w:rsid w:val="001A19BA"/>
    <w:rsid w:val="001A2561"/>
    <w:rsid w:val="001A3295"/>
    <w:rsid w:val="001A46D6"/>
    <w:rsid w:val="001A481A"/>
    <w:rsid w:val="001A5995"/>
    <w:rsid w:val="001A607F"/>
    <w:rsid w:val="001A64F0"/>
    <w:rsid w:val="001A6CD8"/>
    <w:rsid w:val="001A7ED0"/>
    <w:rsid w:val="001B04EA"/>
    <w:rsid w:val="001B07DE"/>
    <w:rsid w:val="001B1536"/>
    <w:rsid w:val="001B2776"/>
    <w:rsid w:val="001B34A6"/>
    <w:rsid w:val="001B4A16"/>
    <w:rsid w:val="001B4B03"/>
    <w:rsid w:val="001B4E2D"/>
    <w:rsid w:val="001B6BE5"/>
    <w:rsid w:val="001B72CA"/>
    <w:rsid w:val="001B77A6"/>
    <w:rsid w:val="001C0BD5"/>
    <w:rsid w:val="001C12B1"/>
    <w:rsid w:val="001C14E5"/>
    <w:rsid w:val="001C150B"/>
    <w:rsid w:val="001C2C9B"/>
    <w:rsid w:val="001C2D5F"/>
    <w:rsid w:val="001C37AC"/>
    <w:rsid w:val="001C49BD"/>
    <w:rsid w:val="001C563C"/>
    <w:rsid w:val="001D0C48"/>
    <w:rsid w:val="001D0C77"/>
    <w:rsid w:val="001D0E75"/>
    <w:rsid w:val="001D3FCA"/>
    <w:rsid w:val="001D42B8"/>
    <w:rsid w:val="001D499F"/>
    <w:rsid w:val="001D6D72"/>
    <w:rsid w:val="001D7743"/>
    <w:rsid w:val="001D7A24"/>
    <w:rsid w:val="001D7B8E"/>
    <w:rsid w:val="001D7D0C"/>
    <w:rsid w:val="001E1674"/>
    <w:rsid w:val="001E32FD"/>
    <w:rsid w:val="001E3BD8"/>
    <w:rsid w:val="001E4D7E"/>
    <w:rsid w:val="001F1060"/>
    <w:rsid w:val="001F1408"/>
    <w:rsid w:val="001F639F"/>
    <w:rsid w:val="001F676A"/>
    <w:rsid w:val="001F6D6F"/>
    <w:rsid w:val="001F6EA3"/>
    <w:rsid w:val="001F7022"/>
    <w:rsid w:val="001F76FA"/>
    <w:rsid w:val="002010DD"/>
    <w:rsid w:val="00201F76"/>
    <w:rsid w:val="00203299"/>
    <w:rsid w:val="00203B10"/>
    <w:rsid w:val="0021098B"/>
    <w:rsid w:val="002132AD"/>
    <w:rsid w:val="00213F1E"/>
    <w:rsid w:val="00214888"/>
    <w:rsid w:val="002177F6"/>
    <w:rsid w:val="00217AE7"/>
    <w:rsid w:val="00221714"/>
    <w:rsid w:val="002230B9"/>
    <w:rsid w:val="002255BA"/>
    <w:rsid w:val="00225748"/>
    <w:rsid w:val="00226186"/>
    <w:rsid w:val="00226BA8"/>
    <w:rsid w:val="00230543"/>
    <w:rsid w:val="00231C4A"/>
    <w:rsid w:val="00231CF7"/>
    <w:rsid w:val="00232287"/>
    <w:rsid w:val="00232505"/>
    <w:rsid w:val="00234058"/>
    <w:rsid w:val="002346C6"/>
    <w:rsid w:val="00235AD1"/>
    <w:rsid w:val="00240A85"/>
    <w:rsid w:val="00242AF4"/>
    <w:rsid w:val="0024319E"/>
    <w:rsid w:val="0024359C"/>
    <w:rsid w:val="00246184"/>
    <w:rsid w:val="00250F1B"/>
    <w:rsid w:val="002528E4"/>
    <w:rsid w:val="00252B2D"/>
    <w:rsid w:val="002548AB"/>
    <w:rsid w:val="00260C72"/>
    <w:rsid w:val="00260E4F"/>
    <w:rsid w:val="00261C8D"/>
    <w:rsid w:val="00262CB6"/>
    <w:rsid w:val="00262DB6"/>
    <w:rsid w:val="0026382C"/>
    <w:rsid w:val="00263921"/>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316E"/>
    <w:rsid w:val="00294D24"/>
    <w:rsid w:val="00296624"/>
    <w:rsid w:val="00296FB1"/>
    <w:rsid w:val="002A089A"/>
    <w:rsid w:val="002A1487"/>
    <w:rsid w:val="002A1AA5"/>
    <w:rsid w:val="002A2966"/>
    <w:rsid w:val="002A3C65"/>
    <w:rsid w:val="002A4635"/>
    <w:rsid w:val="002A577C"/>
    <w:rsid w:val="002A6386"/>
    <w:rsid w:val="002A6E2F"/>
    <w:rsid w:val="002A71C0"/>
    <w:rsid w:val="002A75AF"/>
    <w:rsid w:val="002A7849"/>
    <w:rsid w:val="002A7D2B"/>
    <w:rsid w:val="002A7D57"/>
    <w:rsid w:val="002B2C63"/>
    <w:rsid w:val="002B31C2"/>
    <w:rsid w:val="002B3F25"/>
    <w:rsid w:val="002B4482"/>
    <w:rsid w:val="002B54DA"/>
    <w:rsid w:val="002C01FB"/>
    <w:rsid w:val="002C0388"/>
    <w:rsid w:val="002C1431"/>
    <w:rsid w:val="002C18CE"/>
    <w:rsid w:val="002C3AC9"/>
    <w:rsid w:val="002C4F9A"/>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38C"/>
    <w:rsid w:val="002E3184"/>
    <w:rsid w:val="002E3BE9"/>
    <w:rsid w:val="002E3FAD"/>
    <w:rsid w:val="002E4195"/>
    <w:rsid w:val="002E4458"/>
    <w:rsid w:val="002E4484"/>
    <w:rsid w:val="002E5E4C"/>
    <w:rsid w:val="002E6AE2"/>
    <w:rsid w:val="002E7203"/>
    <w:rsid w:val="002E7842"/>
    <w:rsid w:val="002E7BEF"/>
    <w:rsid w:val="002F0028"/>
    <w:rsid w:val="002F09B2"/>
    <w:rsid w:val="002F1563"/>
    <w:rsid w:val="002F1D6B"/>
    <w:rsid w:val="002F248B"/>
    <w:rsid w:val="002F5B7D"/>
    <w:rsid w:val="002F6051"/>
    <w:rsid w:val="002F6C4F"/>
    <w:rsid w:val="002F72A9"/>
    <w:rsid w:val="002F7B8D"/>
    <w:rsid w:val="00301646"/>
    <w:rsid w:val="00301C13"/>
    <w:rsid w:val="00302804"/>
    <w:rsid w:val="0030328A"/>
    <w:rsid w:val="00303E72"/>
    <w:rsid w:val="00304739"/>
    <w:rsid w:val="00304FFF"/>
    <w:rsid w:val="00305A8A"/>
    <w:rsid w:val="00306ACF"/>
    <w:rsid w:val="003118F2"/>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4431"/>
    <w:rsid w:val="003448B6"/>
    <w:rsid w:val="00344A22"/>
    <w:rsid w:val="00345E8D"/>
    <w:rsid w:val="00345FF2"/>
    <w:rsid w:val="00346B3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70992"/>
    <w:rsid w:val="003728AC"/>
    <w:rsid w:val="00373BDD"/>
    <w:rsid w:val="00374E7A"/>
    <w:rsid w:val="00375B32"/>
    <w:rsid w:val="00376076"/>
    <w:rsid w:val="00376706"/>
    <w:rsid w:val="00376A79"/>
    <w:rsid w:val="0038018D"/>
    <w:rsid w:val="00380538"/>
    <w:rsid w:val="00380D04"/>
    <w:rsid w:val="00380F61"/>
    <w:rsid w:val="003819D1"/>
    <w:rsid w:val="00383A6F"/>
    <w:rsid w:val="00383D77"/>
    <w:rsid w:val="003842DB"/>
    <w:rsid w:val="003851FB"/>
    <w:rsid w:val="003857E0"/>
    <w:rsid w:val="00386B12"/>
    <w:rsid w:val="00387278"/>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4782"/>
    <w:rsid w:val="00405564"/>
    <w:rsid w:val="00405CB6"/>
    <w:rsid w:val="00405E00"/>
    <w:rsid w:val="00406B61"/>
    <w:rsid w:val="00407D80"/>
    <w:rsid w:val="004112C4"/>
    <w:rsid w:val="00411751"/>
    <w:rsid w:val="00412520"/>
    <w:rsid w:val="0041377F"/>
    <w:rsid w:val="004151E6"/>
    <w:rsid w:val="00416E45"/>
    <w:rsid w:val="00417365"/>
    <w:rsid w:val="004179FC"/>
    <w:rsid w:val="00417C0D"/>
    <w:rsid w:val="00420BD2"/>
    <w:rsid w:val="00422546"/>
    <w:rsid w:val="004227A5"/>
    <w:rsid w:val="00423111"/>
    <w:rsid w:val="00423C4C"/>
    <w:rsid w:val="00431CC6"/>
    <w:rsid w:val="004335D7"/>
    <w:rsid w:val="00435079"/>
    <w:rsid w:val="00435D29"/>
    <w:rsid w:val="00436741"/>
    <w:rsid w:val="004367DF"/>
    <w:rsid w:val="00437327"/>
    <w:rsid w:val="00437F5C"/>
    <w:rsid w:val="004406AA"/>
    <w:rsid w:val="004421EF"/>
    <w:rsid w:val="00443ECC"/>
    <w:rsid w:val="00446125"/>
    <w:rsid w:val="004464F2"/>
    <w:rsid w:val="0045020A"/>
    <w:rsid w:val="0045075C"/>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BB"/>
    <w:rsid w:val="00482DB8"/>
    <w:rsid w:val="00482F82"/>
    <w:rsid w:val="004830C2"/>
    <w:rsid w:val="0048478E"/>
    <w:rsid w:val="004855EF"/>
    <w:rsid w:val="004856F0"/>
    <w:rsid w:val="004864FE"/>
    <w:rsid w:val="00486ADA"/>
    <w:rsid w:val="00487871"/>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D75"/>
    <w:rsid w:val="004A6FD0"/>
    <w:rsid w:val="004B187D"/>
    <w:rsid w:val="004B1982"/>
    <w:rsid w:val="004B30DE"/>
    <w:rsid w:val="004B3231"/>
    <w:rsid w:val="004B4BCB"/>
    <w:rsid w:val="004B5141"/>
    <w:rsid w:val="004B75E4"/>
    <w:rsid w:val="004C02E5"/>
    <w:rsid w:val="004C16DF"/>
    <w:rsid w:val="004C18C5"/>
    <w:rsid w:val="004C1C31"/>
    <w:rsid w:val="004C2656"/>
    <w:rsid w:val="004C2BD9"/>
    <w:rsid w:val="004C3618"/>
    <w:rsid w:val="004C3763"/>
    <w:rsid w:val="004C3CFA"/>
    <w:rsid w:val="004C43EC"/>
    <w:rsid w:val="004C4535"/>
    <w:rsid w:val="004C4BED"/>
    <w:rsid w:val="004C4E56"/>
    <w:rsid w:val="004C5298"/>
    <w:rsid w:val="004C5DD0"/>
    <w:rsid w:val="004C757F"/>
    <w:rsid w:val="004C7850"/>
    <w:rsid w:val="004D0206"/>
    <w:rsid w:val="004D083C"/>
    <w:rsid w:val="004D09BF"/>
    <w:rsid w:val="004D10D7"/>
    <w:rsid w:val="004D1150"/>
    <w:rsid w:val="004D2093"/>
    <w:rsid w:val="004D2467"/>
    <w:rsid w:val="004D3116"/>
    <w:rsid w:val="004D3118"/>
    <w:rsid w:val="004D388E"/>
    <w:rsid w:val="004D441C"/>
    <w:rsid w:val="004D4B8A"/>
    <w:rsid w:val="004D62C0"/>
    <w:rsid w:val="004D631A"/>
    <w:rsid w:val="004D762A"/>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500AFB"/>
    <w:rsid w:val="005025BA"/>
    <w:rsid w:val="00502C52"/>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66EF"/>
    <w:rsid w:val="00520A7F"/>
    <w:rsid w:val="00520EA4"/>
    <w:rsid w:val="00522011"/>
    <w:rsid w:val="00522832"/>
    <w:rsid w:val="00523954"/>
    <w:rsid w:val="005245B1"/>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58D"/>
    <w:rsid w:val="0056066A"/>
    <w:rsid w:val="00561B72"/>
    <w:rsid w:val="00563F23"/>
    <w:rsid w:val="0056735C"/>
    <w:rsid w:val="00567C7C"/>
    <w:rsid w:val="00567DFF"/>
    <w:rsid w:val="005728AF"/>
    <w:rsid w:val="0057313C"/>
    <w:rsid w:val="00573523"/>
    <w:rsid w:val="00575A10"/>
    <w:rsid w:val="00576150"/>
    <w:rsid w:val="00576246"/>
    <w:rsid w:val="00576750"/>
    <w:rsid w:val="0058030D"/>
    <w:rsid w:val="00580422"/>
    <w:rsid w:val="00582595"/>
    <w:rsid w:val="005832B5"/>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7B7"/>
    <w:rsid w:val="005C4B0B"/>
    <w:rsid w:val="005C4DBB"/>
    <w:rsid w:val="005C507A"/>
    <w:rsid w:val="005C555F"/>
    <w:rsid w:val="005C58B8"/>
    <w:rsid w:val="005C7938"/>
    <w:rsid w:val="005D02B0"/>
    <w:rsid w:val="005D040A"/>
    <w:rsid w:val="005D19FE"/>
    <w:rsid w:val="005D1CEF"/>
    <w:rsid w:val="005D2712"/>
    <w:rsid w:val="005D2B0D"/>
    <w:rsid w:val="005D34E4"/>
    <w:rsid w:val="005D4C8A"/>
    <w:rsid w:val="005D63EA"/>
    <w:rsid w:val="005D6595"/>
    <w:rsid w:val="005D7FB8"/>
    <w:rsid w:val="005E0DD0"/>
    <w:rsid w:val="005E111B"/>
    <w:rsid w:val="005E11C7"/>
    <w:rsid w:val="005E19AE"/>
    <w:rsid w:val="005E1E27"/>
    <w:rsid w:val="005E20C0"/>
    <w:rsid w:val="005E2138"/>
    <w:rsid w:val="005E3CE4"/>
    <w:rsid w:val="005E4CFF"/>
    <w:rsid w:val="005E4E4A"/>
    <w:rsid w:val="005E4F84"/>
    <w:rsid w:val="005E6D61"/>
    <w:rsid w:val="005E6EAC"/>
    <w:rsid w:val="005E795C"/>
    <w:rsid w:val="005E7C99"/>
    <w:rsid w:val="005F0C8D"/>
    <w:rsid w:val="005F31D6"/>
    <w:rsid w:val="005F3523"/>
    <w:rsid w:val="005F7105"/>
    <w:rsid w:val="006009AA"/>
    <w:rsid w:val="00601C67"/>
    <w:rsid w:val="00602AEB"/>
    <w:rsid w:val="006041E5"/>
    <w:rsid w:val="0060556D"/>
    <w:rsid w:val="00605D45"/>
    <w:rsid w:val="00607209"/>
    <w:rsid w:val="00607213"/>
    <w:rsid w:val="0061069E"/>
    <w:rsid w:val="0061245B"/>
    <w:rsid w:val="006124E4"/>
    <w:rsid w:val="00612BDB"/>
    <w:rsid w:val="00612CC6"/>
    <w:rsid w:val="00613926"/>
    <w:rsid w:val="00613CE6"/>
    <w:rsid w:val="00613DF8"/>
    <w:rsid w:val="006144A1"/>
    <w:rsid w:val="0061488E"/>
    <w:rsid w:val="00615A54"/>
    <w:rsid w:val="00616E14"/>
    <w:rsid w:val="0061753A"/>
    <w:rsid w:val="00617B79"/>
    <w:rsid w:val="00620ED4"/>
    <w:rsid w:val="006215B9"/>
    <w:rsid w:val="00621D55"/>
    <w:rsid w:val="006230FF"/>
    <w:rsid w:val="00623E1E"/>
    <w:rsid w:val="00624147"/>
    <w:rsid w:val="006249ED"/>
    <w:rsid w:val="0062691E"/>
    <w:rsid w:val="00627E40"/>
    <w:rsid w:val="006302DA"/>
    <w:rsid w:val="00630601"/>
    <w:rsid w:val="00630A83"/>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DCA"/>
    <w:rsid w:val="00646437"/>
    <w:rsid w:val="00646570"/>
    <w:rsid w:val="006476A0"/>
    <w:rsid w:val="0064776E"/>
    <w:rsid w:val="00647CC2"/>
    <w:rsid w:val="006504F6"/>
    <w:rsid w:val="00651152"/>
    <w:rsid w:val="00651A64"/>
    <w:rsid w:val="00655276"/>
    <w:rsid w:val="00655805"/>
    <w:rsid w:val="0065611B"/>
    <w:rsid w:val="00657D32"/>
    <w:rsid w:val="00661D36"/>
    <w:rsid w:val="006629E5"/>
    <w:rsid w:val="00664643"/>
    <w:rsid w:val="0066479A"/>
    <w:rsid w:val="006649FF"/>
    <w:rsid w:val="0066606B"/>
    <w:rsid w:val="00670A71"/>
    <w:rsid w:val="006711A5"/>
    <w:rsid w:val="00671BA2"/>
    <w:rsid w:val="006722F8"/>
    <w:rsid w:val="006729C2"/>
    <w:rsid w:val="00672E18"/>
    <w:rsid w:val="00672EDB"/>
    <w:rsid w:val="006736D6"/>
    <w:rsid w:val="00675471"/>
    <w:rsid w:val="00675EA1"/>
    <w:rsid w:val="00681722"/>
    <w:rsid w:val="006838D8"/>
    <w:rsid w:val="00684167"/>
    <w:rsid w:val="00685322"/>
    <w:rsid w:val="0068595D"/>
    <w:rsid w:val="0068632C"/>
    <w:rsid w:val="00686838"/>
    <w:rsid w:val="00686B93"/>
    <w:rsid w:val="00686F37"/>
    <w:rsid w:val="006879B2"/>
    <w:rsid w:val="00690C92"/>
    <w:rsid w:val="00691E97"/>
    <w:rsid w:val="00692CB0"/>
    <w:rsid w:val="00693D71"/>
    <w:rsid w:val="00695E4D"/>
    <w:rsid w:val="006965C2"/>
    <w:rsid w:val="00697809"/>
    <w:rsid w:val="006A1E92"/>
    <w:rsid w:val="006A3BE6"/>
    <w:rsid w:val="006A467B"/>
    <w:rsid w:val="006A4A2F"/>
    <w:rsid w:val="006A66BA"/>
    <w:rsid w:val="006A79B7"/>
    <w:rsid w:val="006B13A9"/>
    <w:rsid w:val="006B3DD5"/>
    <w:rsid w:val="006B5E67"/>
    <w:rsid w:val="006B64A5"/>
    <w:rsid w:val="006B7951"/>
    <w:rsid w:val="006C08FE"/>
    <w:rsid w:val="006C1DDB"/>
    <w:rsid w:val="006C24F4"/>
    <w:rsid w:val="006C2905"/>
    <w:rsid w:val="006C4124"/>
    <w:rsid w:val="006C465F"/>
    <w:rsid w:val="006C52C7"/>
    <w:rsid w:val="006C611C"/>
    <w:rsid w:val="006C62BF"/>
    <w:rsid w:val="006C6D95"/>
    <w:rsid w:val="006D03CA"/>
    <w:rsid w:val="006D1042"/>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720"/>
    <w:rsid w:val="006F1981"/>
    <w:rsid w:val="006F1B8B"/>
    <w:rsid w:val="006F2172"/>
    <w:rsid w:val="006F28F5"/>
    <w:rsid w:val="006F3FA1"/>
    <w:rsid w:val="006F5B3E"/>
    <w:rsid w:val="006F6E8F"/>
    <w:rsid w:val="006F7A43"/>
    <w:rsid w:val="006F7E72"/>
    <w:rsid w:val="007004B2"/>
    <w:rsid w:val="00700553"/>
    <w:rsid w:val="00701172"/>
    <w:rsid w:val="00702E4C"/>
    <w:rsid w:val="00704D60"/>
    <w:rsid w:val="00705176"/>
    <w:rsid w:val="00710CD7"/>
    <w:rsid w:val="0071138C"/>
    <w:rsid w:val="007142A2"/>
    <w:rsid w:val="0071458F"/>
    <w:rsid w:val="00714735"/>
    <w:rsid w:val="00714920"/>
    <w:rsid w:val="00714ACC"/>
    <w:rsid w:val="00716BBD"/>
    <w:rsid w:val="007176C0"/>
    <w:rsid w:val="00720067"/>
    <w:rsid w:val="00720913"/>
    <w:rsid w:val="007216AF"/>
    <w:rsid w:val="0072355F"/>
    <w:rsid w:val="00724CAD"/>
    <w:rsid w:val="0072521C"/>
    <w:rsid w:val="00725259"/>
    <w:rsid w:val="00726162"/>
    <w:rsid w:val="007263EF"/>
    <w:rsid w:val="00726494"/>
    <w:rsid w:val="007314C7"/>
    <w:rsid w:val="00733136"/>
    <w:rsid w:val="00734B24"/>
    <w:rsid w:val="00735007"/>
    <w:rsid w:val="00736045"/>
    <w:rsid w:val="007368CB"/>
    <w:rsid w:val="00736BE7"/>
    <w:rsid w:val="00737909"/>
    <w:rsid w:val="00737BA2"/>
    <w:rsid w:val="007404C4"/>
    <w:rsid w:val="0074063A"/>
    <w:rsid w:val="00740A12"/>
    <w:rsid w:val="00740C65"/>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1852"/>
    <w:rsid w:val="007A1B8F"/>
    <w:rsid w:val="007A2A81"/>
    <w:rsid w:val="007A30B6"/>
    <w:rsid w:val="007A48F5"/>
    <w:rsid w:val="007A4D5B"/>
    <w:rsid w:val="007A4F63"/>
    <w:rsid w:val="007A582D"/>
    <w:rsid w:val="007A63D7"/>
    <w:rsid w:val="007A6A91"/>
    <w:rsid w:val="007A6C27"/>
    <w:rsid w:val="007A7355"/>
    <w:rsid w:val="007B2248"/>
    <w:rsid w:val="007B27AC"/>
    <w:rsid w:val="007B397A"/>
    <w:rsid w:val="007B484B"/>
    <w:rsid w:val="007B48FB"/>
    <w:rsid w:val="007B5BA8"/>
    <w:rsid w:val="007B63D6"/>
    <w:rsid w:val="007C2B4F"/>
    <w:rsid w:val="007C38F5"/>
    <w:rsid w:val="007C3A4F"/>
    <w:rsid w:val="007C62D0"/>
    <w:rsid w:val="007C62E1"/>
    <w:rsid w:val="007C6E3B"/>
    <w:rsid w:val="007C7074"/>
    <w:rsid w:val="007C74CF"/>
    <w:rsid w:val="007D1A3D"/>
    <w:rsid w:val="007D38F9"/>
    <w:rsid w:val="007D395E"/>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C13"/>
    <w:rsid w:val="00800CC8"/>
    <w:rsid w:val="00800F17"/>
    <w:rsid w:val="00801566"/>
    <w:rsid w:val="00801C06"/>
    <w:rsid w:val="00802D08"/>
    <w:rsid w:val="008064FD"/>
    <w:rsid w:val="00806EC1"/>
    <w:rsid w:val="0080768A"/>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A85"/>
    <w:rsid w:val="00842917"/>
    <w:rsid w:val="00843D81"/>
    <w:rsid w:val="00844C3D"/>
    <w:rsid w:val="008469B3"/>
    <w:rsid w:val="008473D2"/>
    <w:rsid w:val="0084768E"/>
    <w:rsid w:val="00852860"/>
    <w:rsid w:val="00852E7E"/>
    <w:rsid w:val="00853AC9"/>
    <w:rsid w:val="00853BB2"/>
    <w:rsid w:val="0085424B"/>
    <w:rsid w:val="008566FE"/>
    <w:rsid w:val="00856E0D"/>
    <w:rsid w:val="008614E7"/>
    <w:rsid w:val="00865A9E"/>
    <w:rsid w:val="00865D8B"/>
    <w:rsid w:val="008662B7"/>
    <w:rsid w:val="00866591"/>
    <w:rsid w:val="00866B9F"/>
    <w:rsid w:val="00867071"/>
    <w:rsid w:val="0086781F"/>
    <w:rsid w:val="00871A0B"/>
    <w:rsid w:val="00871C6E"/>
    <w:rsid w:val="00872BDF"/>
    <w:rsid w:val="00872FC5"/>
    <w:rsid w:val="00875259"/>
    <w:rsid w:val="0087593B"/>
    <w:rsid w:val="00876E63"/>
    <w:rsid w:val="008805A0"/>
    <w:rsid w:val="00880A54"/>
    <w:rsid w:val="00881023"/>
    <w:rsid w:val="00882834"/>
    <w:rsid w:val="00883D8A"/>
    <w:rsid w:val="00885EEC"/>
    <w:rsid w:val="00886276"/>
    <w:rsid w:val="00890DF8"/>
    <w:rsid w:val="008916F6"/>
    <w:rsid w:val="00891D48"/>
    <w:rsid w:val="00893DAE"/>
    <w:rsid w:val="00894481"/>
    <w:rsid w:val="008948FE"/>
    <w:rsid w:val="00896ED1"/>
    <w:rsid w:val="0089722E"/>
    <w:rsid w:val="00897DC2"/>
    <w:rsid w:val="00897FBB"/>
    <w:rsid w:val="008A0123"/>
    <w:rsid w:val="008A0406"/>
    <w:rsid w:val="008A1275"/>
    <w:rsid w:val="008A17FD"/>
    <w:rsid w:val="008A1AD9"/>
    <w:rsid w:val="008A25DB"/>
    <w:rsid w:val="008A3765"/>
    <w:rsid w:val="008A3786"/>
    <w:rsid w:val="008A3E0E"/>
    <w:rsid w:val="008A4A0F"/>
    <w:rsid w:val="008A4D8F"/>
    <w:rsid w:val="008A53DD"/>
    <w:rsid w:val="008A559F"/>
    <w:rsid w:val="008A7BF3"/>
    <w:rsid w:val="008A7E31"/>
    <w:rsid w:val="008B009F"/>
    <w:rsid w:val="008B1BF3"/>
    <w:rsid w:val="008B2978"/>
    <w:rsid w:val="008B396D"/>
    <w:rsid w:val="008B5282"/>
    <w:rsid w:val="008B58EA"/>
    <w:rsid w:val="008B6548"/>
    <w:rsid w:val="008B7D83"/>
    <w:rsid w:val="008C01A5"/>
    <w:rsid w:val="008C0A49"/>
    <w:rsid w:val="008C24D6"/>
    <w:rsid w:val="008C4842"/>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F86"/>
    <w:rsid w:val="0090403D"/>
    <w:rsid w:val="009047D7"/>
    <w:rsid w:val="009048D7"/>
    <w:rsid w:val="00905E97"/>
    <w:rsid w:val="00906833"/>
    <w:rsid w:val="00907051"/>
    <w:rsid w:val="00911B62"/>
    <w:rsid w:val="00912718"/>
    <w:rsid w:val="009137CE"/>
    <w:rsid w:val="009145D8"/>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7C7E"/>
    <w:rsid w:val="00937E1D"/>
    <w:rsid w:val="009418E9"/>
    <w:rsid w:val="00943580"/>
    <w:rsid w:val="0094406A"/>
    <w:rsid w:val="00944151"/>
    <w:rsid w:val="00945C46"/>
    <w:rsid w:val="00946E94"/>
    <w:rsid w:val="009474A7"/>
    <w:rsid w:val="00952085"/>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82A32"/>
    <w:rsid w:val="00982A98"/>
    <w:rsid w:val="00984237"/>
    <w:rsid w:val="00985C69"/>
    <w:rsid w:val="009861F9"/>
    <w:rsid w:val="0098715D"/>
    <w:rsid w:val="0098720B"/>
    <w:rsid w:val="009879B9"/>
    <w:rsid w:val="00987BBD"/>
    <w:rsid w:val="00990359"/>
    <w:rsid w:val="00991279"/>
    <w:rsid w:val="009925FC"/>
    <w:rsid w:val="00992685"/>
    <w:rsid w:val="00992892"/>
    <w:rsid w:val="0099544B"/>
    <w:rsid w:val="0099704C"/>
    <w:rsid w:val="00997B03"/>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59F"/>
    <w:rsid w:val="009F0D06"/>
    <w:rsid w:val="009F36C8"/>
    <w:rsid w:val="009F44E3"/>
    <w:rsid w:val="009F4F53"/>
    <w:rsid w:val="009F52C2"/>
    <w:rsid w:val="009F62E1"/>
    <w:rsid w:val="009F6F1B"/>
    <w:rsid w:val="00A006D8"/>
    <w:rsid w:val="00A01AF2"/>
    <w:rsid w:val="00A01D7C"/>
    <w:rsid w:val="00A047EA"/>
    <w:rsid w:val="00A06A80"/>
    <w:rsid w:val="00A0714A"/>
    <w:rsid w:val="00A07406"/>
    <w:rsid w:val="00A07769"/>
    <w:rsid w:val="00A10D87"/>
    <w:rsid w:val="00A10FC4"/>
    <w:rsid w:val="00A11196"/>
    <w:rsid w:val="00A1206D"/>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380D"/>
    <w:rsid w:val="00A4568D"/>
    <w:rsid w:val="00A470B4"/>
    <w:rsid w:val="00A470F8"/>
    <w:rsid w:val="00A47393"/>
    <w:rsid w:val="00A50456"/>
    <w:rsid w:val="00A50C99"/>
    <w:rsid w:val="00A5147F"/>
    <w:rsid w:val="00A52516"/>
    <w:rsid w:val="00A53FA0"/>
    <w:rsid w:val="00A55528"/>
    <w:rsid w:val="00A563BC"/>
    <w:rsid w:val="00A56F78"/>
    <w:rsid w:val="00A5754A"/>
    <w:rsid w:val="00A63064"/>
    <w:rsid w:val="00A64917"/>
    <w:rsid w:val="00A66165"/>
    <w:rsid w:val="00A6718B"/>
    <w:rsid w:val="00A70CE6"/>
    <w:rsid w:val="00A70EEE"/>
    <w:rsid w:val="00A710FF"/>
    <w:rsid w:val="00A71DAE"/>
    <w:rsid w:val="00A72028"/>
    <w:rsid w:val="00A72510"/>
    <w:rsid w:val="00A72604"/>
    <w:rsid w:val="00A73188"/>
    <w:rsid w:val="00A73536"/>
    <w:rsid w:val="00A73C5C"/>
    <w:rsid w:val="00A75877"/>
    <w:rsid w:val="00A7689D"/>
    <w:rsid w:val="00A77082"/>
    <w:rsid w:val="00A77DFD"/>
    <w:rsid w:val="00A77EB6"/>
    <w:rsid w:val="00A77F5D"/>
    <w:rsid w:val="00A8184A"/>
    <w:rsid w:val="00A81F01"/>
    <w:rsid w:val="00A82094"/>
    <w:rsid w:val="00A820DE"/>
    <w:rsid w:val="00A82C41"/>
    <w:rsid w:val="00A830CF"/>
    <w:rsid w:val="00A83E6C"/>
    <w:rsid w:val="00A84BB2"/>
    <w:rsid w:val="00A850FD"/>
    <w:rsid w:val="00A85B2B"/>
    <w:rsid w:val="00A911E0"/>
    <w:rsid w:val="00A926DA"/>
    <w:rsid w:val="00A9295D"/>
    <w:rsid w:val="00A93561"/>
    <w:rsid w:val="00A94439"/>
    <w:rsid w:val="00A94956"/>
    <w:rsid w:val="00A9556D"/>
    <w:rsid w:val="00A95A26"/>
    <w:rsid w:val="00A96A83"/>
    <w:rsid w:val="00A97252"/>
    <w:rsid w:val="00AA1134"/>
    <w:rsid w:val="00AA1B8C"/>
    <w:rsid w:val="00AA227D"/>
    <w:rsid w:val="00AA22F3"/>
    <w:rsid w:val="00AA252C"/>
    <w:rsid w:val="00AA4B81"/>
    <w:rsid w:val="00AA531C"/>
    <w:rsid w:val="00AA75E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E16"/>
    <w:rsid w:val="00AE0AA9"/>
    <w:rsid w:val="00AE138B"/>
    <w:rsid w:val="00AE1C53"/>
    <w:rsid w:val="00AE22BE"/>
    <w:rsid w:val="00AE23A8"/>
    <w:rsid w:val="00AE2AED"/>
    <w:rsid w:val="00AE323E"/>
    <w:rsid w:val="00AE3705"/>
    <w:rsid w:val="00AE3D2D"/>
    <w:rsid w:val="00AE500F"/>
    <w:rsid w:val="00AE560C"/>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6C9E"/>
    <w:rsid w:val="00B16F23"/>
    <w:rsid w:val="00B16F9F"/>
    <w:rsid w:val="00B17F25"/>
    <w:rsid w:val="00B2082E"/>
    <w:rsid w:val="00B2101E"/>
    <w:rsid w:val="00B220B0"/>
    <w:rsid w:val="00B22658"/>
    <w:rsid w:val="00B235AA"/>
    <w:rsid w:val="00B2473D"/>
    <w:rsid w:val="00B27BD2"/>
    <w:rsid w:val="00B307D7"/>
    <w:rsid w:val="00B32697"/>
    <w:rsid w:val="00B33070"/>
    <w:rsid w:val="00B34745"/>
    <w:rsid w:val="00B34CBF"/>
    <w:rsid w:val="00B34DE6"/>
    <w:rsid w:val="00B35881"/>
    <w:rsid w:val="00B35894"/>
    <w:rsid w:val="00B35F00"/>
    <w:rsid w:val="00B37763"/>
    <w:rsid w:val="00B402FC"/>
    <w:rsid w:val="00B437E9"/>
    <w:rsid w:val="00B43C5B"/>
    <w:rsid w:val="00B44D4F"/>
    <w:rsid w:val="00B46827"/>
    <w:rsid w:val="00B46B6E"/>
    <w:rsid w:val="00B46C10"/>
    <w:rsid w:val="00B46E76"/>
    <w:rsid w:val="00B47385"/>
    <w:rsid w:val="00B50EC4"/>
    <w:rsid w:val="00B513D5"/>
    <w:rsid w:val="00B536A7"/>
    <w:rsid w:val="00B55800"/>
    <w:rsid w:val="00B56460"/>
    <w:rsid w:val="00B572F1"/>
    <w:rsid w:val="00B5775B"/>
    <w:rsid w:val="00B60C08"/>
    <w:rsid w:val="00B6142C"/>
    <w:rsid w:val="00B620C1"/>
    <w:rsid w:val="00B62B41"/>
    <w:rsid w:val="00B63332"/>
    <w:rsid w:val="00B638BF"/>
    <w:rsid w:val="00B6648B"/>
    <w:rsid w:val="00B667FE"/>
    <w:rsid w:val="00B673B6"/>
    <w:rsid w:val="00B6758E"/>
    <w:rsid w:val="00B71024"/>
    <w:rsid w:val="00B7115E"/>
    <w:rsid w:val="00B71DCA"/>
    <w:rsid w:val="00B74CF8"/>
    <w:rsid w:val="00B74EC2"/>
    <w:rsid w:val="00B7507D"/>
    <w:rsid w:val="00B7551D"/>
    <w:rsid w:val="00B7563F"/>
    <w:rsid w:val="00B75983"/>
    <w:rsid w:val="00B77C1A"/>
    <w:rsid w:val="00B77C54"/>
    <w:rsid w:val="00B809A9"/>
    <w:rsid w:val="00B829ED"/>
    <w:rsid w:val="00B83E06"/>
    <w:rsid w:val="00B842E5"/>
    <w:rsid w:val="00B84D9D"/>
    <w:rsid w:val="00B85050"/>
    <w:rsid w:val="00B85462"/>
    <w:rsid w:val="00B8595E"/>
    <w:rsid w:val="00B8616D"/>
    <w:rsid w:val="00B87C2C"/>
    <w:rsid w:val="00B90581"/>
    <w:rsid w:val="00B913AD"/>
    <w:rsid w:val="00B914DA"/>
    <w:rsid w:val="00B92FAD"/>
    <w:rsid w:val="00B941CB"/>
    <w:rsid w:val="00B961A6"/>
    <w:rsid w:val="00BA083B"/>
    <w:rsid w:val="00BA27C6"/>
    <w:rsid w:val="00BA3663"/>
    <w:rsid w:val="00BA5A8B"/>
    <w:rsid w:val="00BA6529"/>
    <w:rsid w:val="00BA66D1"/>
    <w:rsid w:val="00BA6FBF"/>
    <w:rsid w:val="00BA70E3"/>
    <w:rsid w:val="00BA70F4"/>
    <w:rsid w:val="00BB03C0"/>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3774"/>
    <w:rsid w:val="00BF3F36"/>
    <w:rsid w:val="00BF5E0D"/>
    <w:rsid w:val="00BF632F"/>
    <w:rsid w:val="00BF6AB6"/>
    <w:rsid w:val="00C027AB"/>
    <w:rsid w:val="00C02F15"/>
    <w:rsid w:val="00C036BF"/>
    <w:rsid w:val="00C043ED"/>
    <w:rsid w:val="00C047DF"/>
    <w:rsid w:val="00C04B6D"/>
    <w:rsid w:val="00C0547E"/>
    <w:rsid w:val="00C10929"/>
    <w:rsid w:val="00C10A5D"/>
    <w:rsid w:val="00C1288B"/>
    <w:rsid w:val="00C14702"/>
    <w:rsid w:val="00C1474E"/>
    <w:rsid w:val="00C166EE"/>
    <w:rsid w:val="00C16A58"/>
    <w:rsid w:val="00C17020"/>
    <w:rsid w:val="00C176A6"/>
    <w:rsid w:val="00C17F71"/>
    <w:rsid w:val="00C20560"/>
    <w:rsid w:val="00C217EA"/>
    <w:rsid w:val="00C227BA"/>
    <w:rsid w:val="00C24CC4"/>
    <w:rsid w:val="00C267F7"/>
    <w:rsid w:val="00C3049F"/>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48B2"/>
    <w:rsid w:val="00C45B50"/>
    <w:rsid w:val="00C4783C"/>
    <w:rsid w:val="00C478D4"/>
    <w:rsid w:val="00C51C31"/>
    <w:rsid w:val="00C5240F"/>
    <w:rsid w:val="00C5327F"/>
    <w:rsid w:val="00C54691"/>
    <w:rsid w:val="00C55EA1"/>
    <w:rsid w:val="00C55EC4"/>
    <w:rsid w:val="00C60BB2"/>
    <w:rsid w:val="00C62572"/>
    <w:rsid w:val="00C632A8"/>
    <w:rsid w:val="00C63A2A"/>
    <w:rsid w:val="00C64C40"/>
    <w:rsid w:val="00C6698C"/>
    <w:rsid w:val="00C67011"/>
    <w:rsid w:val="00C678CC"/>
    <w:rsid w:val="00C71244"/>
    <w:rsid w:val="00C713A9"/>
    <w:rsid w:val="00C71F6C"/>
    <w:rsid w:val="00C7282A"/>
    <w:rsid w:val="00C72B15"/>
    <w:rsid w:val="00C72B5E"/>
    <w:rsid w:val="00C72C07"/>
    <w:rsid w:val="00C72CB6"/>
    <w:rsid w:val="00C738FC"/>
    <w:rsid w:val="00C748CD"/>
    <w:rsid w:val="00C75680"/>
    <w:rsid w:val="00C762D8"/>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656"/>
    <w:rsid w:val="00C931C1"/>
    <w:rsid w:val="00C9338B"/>
    <w:rsid w:val="00C933D0"/>
    <w:rsid w:val="00C9447B"/>
    <w:rsid w:val="00C94FE5"/>
    <w:rsid w:val="00C96AAA"/>
    <w:rsid w:val="00C978E7"/>
    <w:rsid w:val="00CA0767"/>
    <w:rsid w:val="00CA098E"/>
    <w:rsid w:val="00CA1AD2"/>
    <w:rsid w:val="00CA34FA"/>
    <w:rsid w:val="00CA50D9"/>
    <w:rsid w:val="00CA6CCE"/>
    <w:rsid w:val="00CB042D"/>
    <w:rsid w:val="00CB0A26"/>
    <w:rsid w:val="00CB1D0A"/>
    <w:rsid w:val="00CB1D8E"/>
    <w:rsid w:val="00CB3927"/>
    <w:rsid w:val="00CB3C6A"/>
    <w:rsid w:val="00CB6423"/>
    <w:rsid w:val="00CB6A78"/>
    <w:rsid w:val="00CB6BBF"/>
    <w:rsid w:val="00CC018A"/>
    <w:rsid w:val="00CC0499"/>
    <w:rsid w:val="00CC1EC8"/>
    <w:rsid w:val="00CC5444"/>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1A15"/>
    <w:rsid w:val="00CE1F96"/>
    <w:rsid w:val="00CE28BB"/>
    <w:rsid w:val="00CE300F"/>
    <w:rsid w:val="00CE3767"/>
    <w:rsid w:val="00CE37A1"/>
    <w:rsid w:val="00CE3C3E"/>
    <w:rsid w:val="00CE6EFD"/>
    <w:rsid w:val="00CE75AA"/>
    <w:rsid w:val="00CF1AC9"/>
    <w:rsid w:val="00CF26C6"/>
    <w:rsid w:val="00CF288E"/>
    <w:rsid w:val="00CF44D8"/>
    <w:rsid w:val="00CF4A8D"/>
    <w:rsid w:val="00CF4B4C"/>
    <w:rsid w:val="00CF69EE"/>
    <w:rsid w:val="00CF6A62"/>
    <w:rsid w:val="00D025DB"/>
    <w:rsid w:val="00D035BE"/>
    <w:rsid w:val="00D043F3"/>
    <w:rsid w:val="00D044A1"/>
    <w:rsid w:val="00D045D9"/>
    <w:rsid w:val="00D046B4"/>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205D9"/>
    <w:rsid w:val="00D20EBA"/>
    <w:rsid w:val="00D20F7C"/>
    <w:rsid w:val="00D246DC"/>
    <w:rsid w:val="00D265FE"/>
    <w:rsid w:val="00D273BB"/>
    <w:rsid w:val="00D27492"/>
    <w:rsid w:val="00D3072B"/>
    <w:rsid w:val="00D308AD"/>
    <w:rsid w:val="00D31353"/>
    <w:rsid w:val="00D314BB"/>
    <w:rsid w:val="00D319F2"/>
    <w:rsid w:val="00D3238A"/>
    <w:rsid w:val="00D32672"/>
    <w:rsid w:val="00D33320"/>
    <w:rsid w:val="00D33B0D"/>
    <w:rsid w:val="00D3459F"/>
    <w:rsid w:val="00D34C00"/>
    <w:rsid w:val="00D35486"/>
    <w:rsid w:val="00D3617F"/>
    <w:rsid w:val="00D36B23"/>
    <w:rsid w:val="00D37CDB"/>
    <w:rsid w:val="00D4007E"/>
    <w:rsid w:val="00D403DF"/>
    <w:rsid w:val="00D41027"/>
    <w:rsid w:val="00D41C5E"/>
    <w:rsid w:val="00D41EFF"/>
    <w:rsid w:val="00D42F35"/>
    <w:rsid w:val="00D42FFC"/>
    <w:rsid w:val="00D437A4"/>
    <w:rsid w:val="00D44523"/>
    <w:rsid w:val="00D44862"/>
    <w:rsid w:val="00D46403"/>
    <w:rsid w:val="00D46C9A"/>
    <w:rsid w:val="00D50C41"/>
    <w:rsid w:val="00D50E74"/>
    <w:rsid w:val="00D521A9"/>
    <w:rsid w:val="00D55EB7"/>
    <w:rsid w:val="00D5623B"/>
    <w:rsid w:val="00D614D5"/>
    <w:rsid w:val="00D618AF"/>
    <w:rsid w:val="00D61FFA"/>
    <w:rsid w:val="00D62997"/>
    <w:rsid w:val="00D64EB0"/>
    <w:rsid w:val="00D65FE3"/>
    <w:rsid w:val="00D67EE7"/>
    <w:rsid w:val="00D7036D"/>
    <w:rsid w:val="00D705EA"/>
    <w:rsid w:val="00D709F4"/>
    <w:rsid w:val="00D7163C"/>
    <w:rsid w:val="00D73075"/>
    <w:rsid w:val="00D76E40"/>
    <w:rsid w:val="00D808E0"/>
    <w:rsid w:val="00D8099E"/>
    <w:rsid w:val="00D8227A"/>
    <w:rsid w:val="00D82E46"/>
    <w:rsid w:val="00D830C1"/>
    <w:rsid w:val="00D84D95"/>
    <w:rsid w:val="00D85BA4"/>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9E8"/>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84E"/>
    <w:rsid w:val="00DD0097"/>
    <w:rsid w:val="00DD1963"/>
    <w:rsid w:val="00DD1D54"/>
    <w:rsid w:val="00DD2CE2"/>
    <w:rsid w:val="00DD3092"/>
    <w:rsid w:val="00DD377D"/>
    <w:rsid w:val="00DD3C10"/>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7F2D"/>
    <w:rsid w:val="00E10259"/>
    <w:rsid w:val="00E11028"/>
    <w:rsid w:val="00E11DC4"/>
    <w:rsid w:val="00E11FCF"/>
    <w:rsid w:val="00E12339"/>
    <w:rsid w:val="00E149E5"/>
    <w:rsid w:val="00E14B47"/>
    <w:rsid w:val="00E1503B"/>
    <w:rsid w:val="00E15C29"/>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63CB"/>
    <w:rsid w:val="00E36855"/>
    <w:rsid w:val="00E36985"/>
    <w:rsid w:val="00E36A3F"/>
    <w:rsid w:val="00E3744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230B"/>
    <w:rsid w:val="00E54A99"/>
    <w:rsid w:val="00E55A53"/>
    <w:rsid w:val="00E563E1"/>
    <w:rsid w:val="00E56DFA"/>
    <w:rsid w:val="00E57D76"/>
    <w:rsid w:val="00E60D9A"/>
    <w:rsid w:val="00E63A2D"/>
    <w:rsid w:val="00E63E8C"/>
    <w:rsid w:val="00E64DAE"/>
    <w:rsid w:val="00E65900"/>
    <w:rsid w:val="00E65E8E"/>
    <w:rsid w:val="00E6696B"/>
    <w:rsid w:val="00E67E79"/>
    <w:rsid w:val="00E7107D"/>
    <w:rsid w:val="00E72ED1"/>
    <w:rsid w:val="00E72F8C"/>
    <w:rsid w:val="00E733CA"/>
    <w:rsid w:val="00E736B9"/>
    <w:rsid w:val="00E74D9A"/>
    <w:rsid w:val="00E76A33"/>
    <w:rsid w:val="00E76EDC"/>
    <w:rsid w:val="00E81F4E"/>
    <w:rsid w:val="00E8276F"/>
    <w:rsid w:val="00E9031A"/>
    <w:rsid w:val="00E90394"/>
    <w:rsid w:val="00E90B0C"/>
    <w:rsid w:val="00E910BC"/>
    <w:rsid w:val="00E92111"/>
    <w:rsid w:val="00E922B5"/>
    <w:rsid w:val="00E9239F"/>
    <w:rsid w:val="00E9243F"/>
    <w:rsid w:val="00E9308B"/>
    <w:rsid w:val="00E94A75"/>
    <w:rsid w:val="00E95AE8"/>
    <w:rsid w:val="00E968BC"/>
    <w:rsid w:val="00E96CDD"/>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75ED"/>
    <w:rsid w:val="00EC03B7"/>
    <w:rsid w:val="00EC0972"/>
    <w:rsid w:val="00EC1B5E"/>
    <w:rsid w:val="00EC1D8F"/>
    <w:rsid w:val="00EC26C6"/>
    <w:rsid w:val="00EC2953"/>
    <w:rsid w:val="00EC5442"/>
    <w:rsid w:val="00EC67CA"/>
    <w:rsid w:val="00EC6DFA"/>
    <w:rsid w:val="00EC7DB9"/>
    <w:rsid w:val="00ED1013"/>
    <w:rsid w:val="00ED22AA"/>
    <w:rsid w:val="00ED3C3E"/>
    <w:rsid w:val="00ED3D08"/>
    <w:rsid w:val="00ED4473"/>
    <w:rsid w:val="00ED4C71"/>
    <w:rsid w:val="00ED6A82"/>
    <w:rsid w:val="00ED6B81"/>
    <w:rsid w:val="00ED745D"/>
    <w:rsid w:val="00EE00FC"/>
    <w:rsid w:val="00EE01D5"/>
    <w:rsid w:val="00EE031E"/>
    <w:rsid w:val="00EE0A87"/>
    <w:rsid w:val="00EE17D9"/>
    <w:rsid w:val="00EE24FC"/>
    <w:rsid w:val="00EE3575"/>
    <w:rsid w:val="00EE4826"/>
    <w:rsid w:val="00EE5904"/>
    <w:rsid w:val="00EE5D3D"/>
    <w:rsid w:val="00EE776B"/>
    <w:rsid w:val="00EF1257"/>
    <w:rsid w:val="00EF177A"/>
    <w:rsid w:val="00EF2A7C"/>
    <w:rsid w:val="00EF5381"/>
    <w:rsid w:val="00EF5637"/>
    <w:rsid w:val="00EF57AE"/>
    <w:rsid w:val="00EF5F81"/>
    <w:rsid w:val="00EF74A7"/>
    <w:rsid w:val="00F01960"/>
    <w:rsid w:val="00F02690"/>
    <w:rsid w:val="00F0408A"/>
    <w:rsid w:val="00F0472E"/>
    <w:rsid w:val="00F04F96"/>
    <w:rsid w:val="00F063CA"/>
    <w:rsid w:val="00F066AF"/>
    <w:rsid w:val="00F07020"/>
    <w:rsid w:val="00F077EE"/>
    <w:rsid w:val="00F10E39"/>
    <w:rsid w:val="00F11F9B"/>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38D1"/>
    <w:rsid w:val="00F746E5"/>
    <w:rsid w:val="00F75B13"/>
    <w:rsid w:val="00F76CED"/>
    <w:rsid w:val="00F8191A"/>
    <w:rsid w:val="00F82B38"/>
    <w:rsid w:val="00F82B99"/>
    <w:rsid w:val="00F841A9"/>
    <w:rsid w:val="00F84B34"/>
    <w:rsid w:val="00F86D4F"/>
    <w:rsid w:val="00F91DCD"/>
    <w:rsid w:val="00F92E4F"/>
    <w:rsid w:val="00F94E7E"/>
    <w:rsid w:val="00F96246"/>
    <w:rsid w:val="00F97F57"/>
    <w:rsid w:val="00FA1075"/>
    <w:rsid w:val="00FA15A5"/>
    <w:rsid w:val="00FA2D62"/>
    <w:rsid w:val="00FA3582"/>
    <w:rsid w:val="00FA3E0E"/>
    <w:rsid w:val="00FA3FDA"/>
    <w:rsid w:val="00FA5DD8"/>
    <w:rsid w:val="00FB0028"/>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D0044"/>
    <w:rsid w:val="00FD03CA"/>
    <w:rsid w:val="00FD07CE"/>
    <w:rsid w:val="00FD07D1"/>
    <w:rsid w:val="00FD1D89"/>
    <w:rsid w:val="00FD2F7B"/>
    <w:rsid w:val="00FD402D"/>
    <w:rsid w:val="00FD60FE"/>
    <w:rsid w:val="00FD61F9"/>
    <w:rsid w:val="00FD6B30"/>
    <w:rsid w:val="00FD7BE7"/>
    <w:rsid w:val="00FE05E6"/>
    <w:rsid w:val="00FE099C"/>
    <w:rsid w:val="00FE184C"/>
    <w:rsid w:val="00FE25C4"/>
    <w:rsid w:val="00FE40C4"/>
    <w:rsid w:val="00FE44D4"/>
    <w:rsid w:val="00FE5502"/>
    <w:rsid w:val="00FE58A6"/>
    <w:rsid w:val="00FE5FB1"/>
    <w:rsid w:val="00FE632C"/>
    <w:rsid w:val="00FE7060"/>
    <w:rsid w:val="00FE7541"/>
    <w:rsid w:val="00FE7EF9"/>
    <w:rsid w:val="00FF06B9"/>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99"/>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llphoenix.com/product/on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rcan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illphoenix.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b="1"/>
              <a:t>The meat department | Dollar and volume sale vs. YA</a:t>
            </a:r>
          </a:p>
        </c:rich>
      </c:tx>
      <c:layout>
        <c:manualLayout>
          <c:xMode val="edge"/>
          <c:yMode val="edge"/>
          <c:x val="1.2308353697167162E-2"/>
          <c:y val="4.480286738351254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1196880304491847E-2"/>
          <c:y val="0.14592829558725542"/>
          <c:w val="0.89791043213615396"/>
          <c:h val="0.80425583744707074"/>
        </c:manualLayout>
      </c:layout>
      <c:lineChart>
        <c:grouping val="standard"/>
        <c:varyColors val="0"/>
        <c:ser>
          <c:idx val="0"/>
          <c:order val="0"/>
          <c:tx>
            <c:strRef>
              <c:f>Sheet1!$B$1</c:f>
              <c:strCache>
                <c:ptCount val="1"/>
                <c:pt idx="0">
                  <c:v>$ vs. YA</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dLbls>
            <c:dLbl>
              <c:idx val="1"/>
              <c:layout>
                <c:manualLayout>
                  <c:x val="-7.1320785756481299E-3"/>
                  <c:y val="2.1963058757782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C7-4AD5-BCB1-DA2D5B9E5B3A}"/>
                </c:ext>
              </c:extLst>
            </c:dLbl>
            <c:dLbl>
              <c:idx val="7"/>
              <c:layout>
                <c:manualLayout>
                  <c:x val="-2.9924101367670923E-2"/>
                  <c:y val="-2.35328466107342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C7-4AD5-BCB1-DA2D5B9E5B3A}"/>
                </c:ext>
              </c:extLst>
            </c:dLbl>
            <c:dLbl>
              <c:idx val="8"/>
              <c:layout>
                <c:manualLayout>
                  <c:x val="-3.8466324188108962E-2"/>
                  <c:y val="-5.15547289159095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C7-4AD5-BCB1-DA2D5B9E5B3A}"/>
                </c:ext>
              </c:extLst>
            </c:dLbl>
            <c:dLbl>
              <c:idx val="10"/>
              <c:layout>
                <c:manualLayout>
                  <c:x val="-3.9316239316239315E-2"/>
                  <c:y val="-3.3451670452021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0D-49EE-9E3A-4486439CF19A}"/>
                </c:ext>
              </c:extLst>
            </c:dLbl>
            <c:dLbl>
              <c:idx val="11"/>
              <c:layout>
                <c:manualLayout>
                  <c:x val="-4.6399114640584454E-3"/>
                  <c:y val="-1.6506345915917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3-48A8-99DD-FCB8F69AC4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2020</c:v>
                </c:pt>
                <c:pt idx="1">
                  <c:v>2021</c:v>
                </c:pt>
                <c:pt idx="2">
                  <c:v>Q1 2022</c:v>
                </c:pt>
                <c:pt idx="3">
                  <c:v>Q2 2022</c:v>
                </c:pt>
                <c:pt idx="4">
                  <c:v>Q3 2022</c:v>
                </c:pt>
                <c:pt idx="5">
                  <c:v>Q4 2022</c:v>
                </c:pt>
                <c:pt idx="6">
                  <c:v>Q1 2023</c:v>
                </c:pt>
                <c:pt idx="7">
                  <c:v>Q2 2023</c:v>
                </c:pt>
                <c:pt idx="8">
                  <c:v>Q3 2023</c:v>
                </c:pt>
                <c:pt idx="9">
                  <c:v>Q4 2023</c:v>
                </c:pt>
                <c:pt idx="10">
                  <c:v>Q1 2024</c:v>
                </c:pt>
                <c:pt idx="11">
                  <c:v>May-24</c:v>
                </c:pt>
              </c:strCache>
            </c:strRef>
          </c:cat>
          <c:val>
            <c:numRef>
              <c:f>Sheet1!$B$2:$B$13</c:f>
              <c:numCache>
                <c:formatCode>0.0%</c:formatCode>
                <c:ptCount val="12"/>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3.3000000000000002E-2</c:v>
                </c:pt>
              </c:numCache>
            </c:numRef>
          </c:val>
          <c:smooth val="0"/>
          <c:extLst>
            <c:ext xmlns:c16="http://schemas.microsoft.com/office/drawing/2014/chart" uri="{C3380CC4-5D6E-409C-BE32-E72D297353CC}">
              <c16:uniqueId val="{00000001-370D-49EE-9E3A-4486439CF19A}"/>
            </c:ext>
          </c:extLst>
        </c:ser>
        <c:ser>
          <c:idx val="1"/>
          <c:order val="1"/>
          <c:tx>
            <c:strRef>
              <c:f>Sheet1!$C$1</c:f>
              <c:strCache>
                <c:ptCount val="1"/>
                <c:pt idx="0">
                  <c:v>Lbs vs. YA</c:v>
                </c:pt>
              </c:strCache>
            </c:strRef>
          </c:tx>
          <c:spPr>
            <a:ln w="28575" cap="rnd">
              <a:solidFill>
                <a:srgbClr val="660066"/>
              </a:solidFill>
              <a:round/>
            </a:ln>
            <a:effectLst/>
          </c:spPr>
          <c:marker>
            <c:symbol val="circle"/>
            <c:size val="5"/>
            <c:spPr>
              <a:solidFill>
                <a:srgbClr val="660066"/>
              </a:solidFill>
              <a:ln w="9525">
                <a:solidFill>
                  <a:srgbClr val="660066"/>
                </a:solidFill>
              </a:ln>
              <a:effectLst/>
            </c:spPr>
          </c:marker>
          <c:dLbls>
            <c:dLbl>
              <c:idx val="3"/>
              <c:layout>
                <c:manualLayout>
                  <c:x val="-3.8466324188109031E-2"/>
                  <c:y val="-4.4711011442041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0D-49EE-9E3A-4486439CF19A}"/>
                </c:ext>
              </c:extLst>
            </c:dLbl>
            <c:dLbl>
              <c:idx val="4"/>
              <c:layout>
                <c:manualLayout>
                  <c:x val="-3.2768318490103268E-2"/>
                  <c:y val="-4.4711011442041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0D-49EE-9E3A-4486439CF19A}"/>
                </c:ext>
              </c:extLst>
            </c:dLbl>
            <c:dLbl>
              <c:idx val="5"/>
              <c:layout>
                <c:manualLayout>
                  <c:x val="-4.0365659420777598E-2"/>
                  <c:y val="-4.01614209051894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0D-49EE-9E3A-4486439CF19A}"/>
                </c:ext>
              </c:extLst>
            </c:dLbl>
            <c:dLbl>
              <c:idx val="7"/>
              <c:layout>
                <c:manualLayout>
                  <c:x val="-3.1823436600339559E-2"/>
                  <c:y val="8.7227114126657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0D-49EE-9E3A-4486439CF19A}"/>
                </c:ext>
              </c:extLst>
            </c:dLbl>
            <c:dLbl>
              <c:idx val="8"/>
              <c:layout>
                <c:manualLayout>
                  <c:x val="-3.8466324188108962E-2"/>
                  <c:y val="8.7227114126657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C7-4AD5-BCB1-DA2D5B9E5B3A}"/>
                </c:ext>
              </c:extLst>
            </c:dLbl>
            <c:dLbl>
              <c:idx val="10"/>
              <c:layout>
                <c:manualLayout>
                  <c:x val="-2.9924101367670923E-2"/>
                  <c:y val="5.9647775428917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0D-49EE-9E3A-4486439CF19A}"/>
                </c:ext>
              </c:extLst>
            </c:dLbl>
            <c:dLbl>
              <c:idx val="11"/>
              <c:layout>
                <c:manualLayout>
                  <c:x val="-2.7405762313898797E-3"/>
                  <c:y val="-1.3192868321220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C7-4AD5-BCB1-DA2D5B9E5B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660066"/>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2020</c:v>
                </c:pt>
                <c:pt idx="1">
                  <c:v>2021</c:v>
                </c:pt>
                <c:pt idx="2">
                  <c:v>Q1 2022</c:v>
                </c:pt>
                <c:pt idx="3">
                  <c:v>Q2 2022</c:v>
                </c:pt>
                <c:pt idx="4">
                  <c:v>Q3 2022</c:v>
                </c:pt>
                <c:pt idx="5">
                  <c:v>Q4 2022</c:v>
                </c:pt>
                <c:pt idx="6">
                  <c:v>Q1 2023</c:v>
                </c:pt>
                <c:pt idx="7">
                  <c:v>Q2 2023</c:v>
                </c:pt>
                <c:pt idx="8">
                  <c:v>Q3 2023</c:v>
                </c:pt>
                <c:pt idx="9">
                  <c:v>Q4 2023</c:v>
                </c:pt>
                <c:pt idx="10">
                  <c:v>Q1 2024</c:v>
                </c:pt>
                <c:pt idx="11">
                  <c:v>May-24</c:v>
                </c:pt>
              </c:strCache>
            </c:strRef>
          </c:cat>
          <c:val>
            <c:numRef>
              <c:f>Sheet1!$C$2:$C$13</c:f>
              <c:numCache>
                <c:formatCode>0.0%</c:formatCode>
                <c:ptCount val="12"/>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numCache>
            </c:numRef>
          </c:val>
          <c:smooth val="0"/>
          <c:extLst>
            <c:ext xmlns:c16="http://schemas.microsoft.com/office/drawing/2014/chart" uri="{C3380CC4-5D6E-409C-BE32-E72D297353CC}">
              <c16:uniqueId val="{00000002-370D-49EE-9E3A-4486439CF19A}"/>
            </c:ext>
          </c:extLst>
        </c:ser>
        <c:dLbls>
          <c:showLegendKey val="0"/>
          <c:showVal val="0"/>
          <c:showCatName val="0"/>
          <c:showSerName val="0"/>
          <c:showPercent val="0"/>
          <c:showBubbleSize val="0"/>
        </c:dLbls>
        <c:marker val="1"/>
        <c:smooth val="0"/>
        <c:axId val="2431599"/>
        <c:axId val="2432559"/>
      </c:lineChart>
      <c:catAx>
        <c:axId val="243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32559"/>
        <c:crosses val="autoZero"/>
        <c:auto val="1"/>
        <c:lblAlgn val="ctr"/>
        <c:lblOffset val="100"/>
        <c:noMultiLvlLbl val="0"/>
      </c:catAx>
      <c:valAx>
        <c:axId val="24325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31599"/>
        <c:crosses val="autoZero"/>
        <c:crossBetween val="between"/>
      </c:valAx>
      <c:spPr>
        <a:noFill/>
        <a:ln>
          <a:noFill/>
        </a:ln>
        <a:effectLst/>
      </c:spPr>
    </c:plotArea>
    <c:legend>
      <c:legendPos val="b"/>
      <c:layout>
        <c:manualLayout>
          <c:xMode val="edge"/>
          <c:yMode val="edge"/>
          <c:x val="0.68777551512957436"/>
          <c:y val="2.6481316851522597E-2"/>
          <c:w val="0.27954037310992691"/>
          <c:h val="7.14584568058024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D8016E-7D1C-49AB-B296-E98C7E4E6AE9}">
  <ds:schemaRefs>
    <ds:schemaRef ds:uri="http://schemas.openxmlformats.org/officeDocument/2006/bibliography"/>
  </ds:schemaRefs>
</ds:datastoreItem>
</file>

<file path=customXml/itemProps3.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D09CB-37A9-4EFA-9F6E-CBE7238B2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1620</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Anne-Marie Roerink</cp:lastModifiedBy>
  <cp:revision>10</cp:revision>
  <dcterms:created xsi:type="dcterms:W3CDTF">2024-06-14T01:43:00Z</dcterms:created>
  <dcterms:modified xsi:type="dcterms:W3CDTF">2024-06-17T13:00:00Z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